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xml" PartName="/customXML/item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package.core-properties+xml" PartName="/docProps/cor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МІНІСТЕРСТВО ОСВІТИ І НАУКИ УКРАЇНИ</w:t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1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НАЦІОНАЛЬНИЙ УНІВЕРСИТЕТ «ЗАПОРІЗЬКА ПОЛІТЕХНІКА»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кафедра  «Іноземна філологія та переклад»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</w:rPr>
        <w:drawing>
          <wp:inline distB="114300" distT="114300" distL="114300" distR="114300">
            <wp:extent cx="2768397" cy="1606354"/>
            <wp:effectExtent b="0" l="0" r="0" t="0"/>
            <wp:docPr id="1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68397" cy="160635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88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ПРОГРАМА НАВЧАЛЬНОЇ ДИСЦИПЛІНИ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ОК-8   Методологія, методика та організація наукових досліджень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освітня програма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ab/>
        <w:t xml:space="preserve">Германські мови та літератури (переклад включно),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                                       перша – англійська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_____________________________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(назва освітньої програми)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спеціальність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ab/>
        <w:tab/>
        <w:tab/>
        <w:t xml:space="preserve">В.11 Філологія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___________________________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(код і назва спеціальності)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галузі знань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ab/>
        <w:tab/>
        <w:t xml:space="preserve">В. Культура, мистецтво і гуманітарні науки</w:t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(шифр і назва)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ступінь вищої освіти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ab/>
        <w:tab/>
        <w:tab/>
        <w:t xml:space="preserve">магістр</w:t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(назва  ступеня вищої освіти)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2025 рік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Програма з дисципліни «Методологія, методика та організація наукових досліджень» спеціальності В-11 Філологія за освітньою програмою «Германські мови та літератури (переклад включно)»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Розробник:  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д. ф. н., проф. А.М. Приходько, професор кафедри «Іноземна філологія та переклад»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Програма погоджена: 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2790825</wp:posOffset>
            </wp:positionH>
            <wp:positionV relativeFrom="paragraph">
              <wp:posOffset>377093</wp:posOffset>
            </wp:positionV>
            <wp:extent cx="1234380" cy="605183"/>
            <wp:effectExtent b="0" l="0" r="0" t="0"/>
            <wp:wrapSquare wrapText="bothSides" distB="114300" distT="114300" distL="114300" distR="114300"/>
            <wp:docPr id="4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34380" cy="60518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1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6662" w:hanging="623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В.о. завідувачки кафедри</w:t>
        <w:tab/>
        <w:t xml:space="preserve">Наталія ЖУКОВА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ind w:left="6662" w:hanging="623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«Іноземна філологія та переклад»</w:t>
        <w:tab/>
        <w:t xml:space="preserve">_______________ 2025 р.</w:t>
      </w:r>
    </w:p>
    <w:p w:rsidR="00000000" w:rsidDel="00000000" w:rsidP="00000000" w:rsidRDefault="00000000" w:rsidRPr="00000000" w14:paraId="00000034">
      <w:pPr>
        <w:spacing w:line="360" w:lineRule="auto"/>
        <w:ind w:hanging="623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2790825</wp:posOffset>
            </wp:positionH>
            <wp:positionV relativeFrom="paragraph">
              <wp:posOffset>114374</wp:posOffset>
            </wp:positionV>
            <wp:extent cx="1238250" cy="961803"/>
            <wp:effectExtent b="0" l="0" r="0" t="0"/>
            <wp:wrapSquare wrapText="bothSides" distB="114300" distT="114300" distL="114300" distR="11430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96180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5">
      <w:pPr>
        <w:spacing w:after="200" w:line="276" w:lineRule="auto"/>
        <w:ind w:left="6663" w:hanging="623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Гарант освітньої програми                                                         </w:t>
        <w:tab/>
        <w:t xml:space="preserve">Анатолій ПРИХОДЬКО</w:t>
      </w:r>
    </w:p>
    <w:p w:rsidR="00000000" w:rsidDel="00000000" w:rsidP="00000000" w:rsidRDefault="00000000" w:rsidRPr="00000000" w14:paraId="00000036">
      <w:pPr>
        <w:spacing w:after="160" w:line="312" w:lineRule="auto"/>
        <w:ind w:firstLine="666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 2025 р.</w:t>
      </w:r>
    </w:p>
    <w:p w:rsidR="00000000" w:rsidDel="00000000" w:rsidP="00000000" w:rsidRDefault="00000000" w:rsidRPr="00000000" w14:paraId="00000037">
      <w:pPr>
        <w:spacing w:after="200" w:line="276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360" w:lineRule="auto"/>
        <w:ind w:hanging="623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Схвалено науково-методичною комісією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гуманітарного факультету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A">
      <w:pPr>
        <w:spacing w:line="360" w:lineRule="auto"/>
        <w:ind w:firstLine="2413"/>
        <w:jc w:val="both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                                                          (найменування  факультету)</w:t>
      </w:r>
    </w:p>
    <w:p w:rsidR="00000000" w:rsidDel="00000000" w:rsidP="00000000" w:rsidRDefault="00000000" w:rsidRPr="00000000" w14:paraId="0000003B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Протокол від  26.08.2025 року № 1</w:t>
      </w:r>
    </w:p>
    <w:p w:rsidR="00000000" w:rsidDel="00000000" w:rsidP="00000000" w:rsidRDefault="00000000" w:rsidRPr="00000000" w14:paraId="0000003C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2847975</wp:posOffset>
            </wp:positionH>
            <wp:positionV relativeFrom="paragraph">
              <wp:posOffset>329543</wp:posOffset>
            </wp:positionV>
            <wp:extent cx="871538" cy="795384"/>
            <wp:effectExtent b="0" l="0" r="0" t="0"/>
            <wp:wrapSquare wrapText="bothSides" distB="114300" distT="114300" distL="114300" distR="11430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71538" cy="79538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D">
      <w:pPr>
        <w:spacing w:line="360" w:lineRule="auto"/>
        <w:ind w:hanging="623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ind w:left="6663" w:hanging="623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Голова науково-методичної комісії</w:t>
        <w:tab/>
        <w:t xml:space="preserve">          </w:t>
      </w:r>
      <w:r w:rsidDel="00000000" w:rsidR="00000000" w:rsidRPr="00000000">
        <w:rPr>
          <w:sz w:val="28"/>
          <w:szCs w:val="28"/>
          <w:rtl w:val="0"/>
        </w:rPr>
        <w:t xml:space="preserve">Т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етяна ХІТРОВА</w:t>
      </w:r>
    </w:p>
    <w:p w:rsidR="00000000" w:rsidDel="00000000" w:rsidP="00000000" w:rsidRDefault="00000000" w:rsidRPr="00000000" w14:paraId="0000003F">
      <w:pPr>
        <w:ind w:left="6663" w:hanging="623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160" w:line="312" w:lineRule="auto"/>
        <w:ind w:firstLine="666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__________ 2025 р.</w:t>
      </w:r>
    </w:p>
    <w:p w:rsidR="00000000" w:rsidDel="00000000" w:rsidP="00000000" w:rsidRDefault="00000000" w:rsidRPr="00000000" w14:paraId="00000041">
      <w:pPr>
        <w:spacing w:after="160" w:line="312" w:lineRule="auto"/>
        <w:ind w:firstLine="666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ind w:left="6663" w:hanging="623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ind w:left="6663" w:hanging="623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ind w:left="6663" w:hanging="623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ind w:left="6663" w:hanging="623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ind w:left="6663" w:hanging="623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ind w:left="6663" w:hanging="623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ind w:left="6663" w:hanging="623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ind w:left="6663" w:hanging="623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ind w:left="6663" w:hanging="623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ind w:left="6663" w:hanging="623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Опис навчальної дисципліни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33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026"/>
        <w:gridCol w:w="5307"/>
        <w:tblGridChange w:id="0">
          <w:tblGrid>
            <w:gridCol w:w="4026"/>
            <w:gridCol w:w="5307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60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Обов’язковий освітній компонент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Рівень вищої освіти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другий (магістерський) рівень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Ступінь вищої освіти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магістр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Галузь знань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В. Культура, мистецтво і гуманітарні науки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Спеціальність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В.11. Філологія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Обмеження щодо форм навчання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Без обмежень</w:t>
            </w:r>
          </w:p>
        </w:tc>
      </w:tr>
    </w:tbl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21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355"/>
        <w:gridCol w:w="2491"/>
        <w:gridCol w:w="2372"/>
        <w:tblGridChange w:id="0">
          <w:tblGrid>
            <w:gridCol w:w="4355"/>
            <w:gridCol w:w="2491"/>
            <w:gridCol w:w="2372"/>
          </w:tblGrid>
        </w:tblGridChange>
      </w:tblGrid>
      <w:tr>
        <w:trPr>
          <w:cantSplit w:val="1"/>
          <w:trHeight w:val="803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Найменування показників </w:t>
            </w:r>
          </w:p>
        </w:tc>
        <w:tc>
          <w:tcPr>
            <w:gridSpan w:val="2"/>
            <w:tcBorders>
              <w:top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Характеристика 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навчальної дисципліни</w:t>
            </w:r>
          </w:p>
        </w:tc>
      </w:tr>
      <w:tr>
        <w:trPr>
          <w:cantSplit w:val="1"/>
          <w:trHeight w:val="549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денна форма навчання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заочна форма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навчання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9" w:hRule="atLeast"/>
          <w:tblHeader w:val="0"/>
        </w:trPr>
        <w:tc>
          <w:tcPr>
            <w:vMerge w:val="restart"/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Кількість кредитів – 3</w:t>
            </w:r>
          </w:p>
        </w:tc>
        <w:tc>
          <w:tcPr>
            <w:gridSpan w:val="2"/>
            <w:vMerge w:val="restart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</w:tr>
      <w:tr>
        <w:trPr>
          <w:cantSplit w:val="1"/>
          <w:trHeight w:val="322" w:hRule="atLeast"/>
          <w:tblHeader w:val="0"/>
        </w:trPr>
        <w:tc>
          <w:tcPr>
            <w:vMerge w:val="continue"/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0" w:hRule="atLeast"/>
          <w:tblHeader w:val="0"/>
        </w:trPr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Модулів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207" w:hRule="atLeast"/>
          <w:tblHeader w:val="0"/>
        </w:trPr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Змістових модулів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</w:tr>
      <w:tr>
        <w:trPr>
          <w:cantSplit w:val="0"/>
          <w:trHeight w:val="232" w:hRule="atLeast"/>
          <w:tblHeader w:val="0"/>
        </w:trPr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Семестр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322" w:hRule="atLeast"/>
          <w:tblHeader w:val="0"/>
        </w:trPr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Загальна кількість годин  </w:t>
            </w:r>
          </w:p>
        </w:tc>
        <w:tc>
          <w:tcPr>
            <w:gridSpan w:val="2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90</w:t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із них аудиторних: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B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32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C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</w:tr>
      <w:tr>
        <w:trPr>
          <w:cantSplit w:val="1"/>
          <w:trHeight w:val="320" w:hRule="atLeast"/>
          <w:tblHeader w:val="0"/>
        </w:trPr>
        <w:tc>
          <w:tcPr>
            <w:vMerge w:val="restart"/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лекції: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практичні: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лабораторні: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семінарські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1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2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20" w:hRule="atLeast"/>
          <w:tblHeader w:val="0"/>
        </w:trPr>
        <w:tc>
          <w:tcPr>
            <w:vMerge w:val="continue"/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4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5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38" w:hRule="atLeast"/>
          <w:tblHeader w:val="0"/>
        </w:trPr>
        <w:tc>
          <w:tcPr>
            <w:vMerge w:val="continue"/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7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8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38" w:hRule="atLeast"/>
          <w:tblHeader w:val="0"/>
        </w:trPr>
        <w:tc>
          <w:tcPr>
            <w:vMerge w:val="continue"/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A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B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8" w:hRule="atLeast"/>
          <w:tblHeader w:val="0"/>
        </w:trPr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самостійна робота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D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58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E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84</w:t>
            </w:r>
          </w:p>
        </w:tc>
      </w:tr>
      <w:tr>
        <w:trPr>
          <w:cantSplit w:val="0"/>
          <w:trHeight w:val="138" w:hRule="atLeast"/>
          <w:tblHeader w:val="0"/>
        </w:trPr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Індивідуальні завдання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0"/>
          <w:trHeight w:val="138" w:hRule="atLeast"/>
          <w:tblHeader w:val="0"/>
        </w:trPr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Курсова робота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0"/>
          <w:trHeight w:val="138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Форма контролю 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залік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залік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900"/>
        </w:tabs>
        <w:spacing w:after="0" w:before="0" w:line="240" w:lineRule="auto"/>
        <w:ind w:left="0" w:right="0" w:firstLine="54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2.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Мета навчальної дисципліни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900"/>
        </w:tabs>
        <w:spacing w:after="0" w:before="0" w:line="240" w:lineRule="auto"/>
        <w:ind w:left="0" w:right="0" w:firstLine="54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Метою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викладання навчальної дисципліни «Методологія, методика та організація наукових досліджень» є формування знання про методологію науково-дослідної роботи, стратегію й тактики проведення досліджень, придбання навиків щодо практичного використання методології, методики й інструментарію дослідження. 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Дисципліна спрямована також на досягнення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Цілей сталого розвитку університету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– зокрема, "забезпечення всеохопної і справедливої якісної освіти та заохочення можливості навчання впродовж усього життя для всіх", як це передбачено стратегією розвитку НУ "ЗП"  (ціль 4).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3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3" w:firstLine="54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3.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Завдання вивчення дисципліни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Основними завданнями вивчення дисципліни є: 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- усвідомлення студентами ролі та місця науки в соціумі як рухомої сили науково-технічного прогресу;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- формування у свідомості здобувачів вищої освіти цілісного уявлення про науково-дослідницький процес;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- виховання у студентів аналітичного ставлення до наукової продукції, набуття ними певних дослідницьких навичок і усвідомлення ними цілей наукового дослідження; 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- засвоєння здобувачами вищої освіти постулатів наукової етики та інтеріоризації ними принципів академічної доброчесності як усвідомленої необхідності;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- ознайомлення студентів з сучасними методологічними концепціями, з основами методології наукового пізнання та з методикою філологічних досліджень;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- формування серед здобувачів освіти навичок правильного виконання та оформлення ними наукових кваліфікаційних робіт.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40" w:lineRule="auto"/>
        <w:ind w:left="0" w:right="0" w:firstLine="54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900"/>
        </w:tabs>
        <w:spacing w:after="0" w:before="0" w:line="240" w:lineRule="auto"/>
        <w:ind w:left="0" w:right="0" w:firstLine="54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4. Пре- і постреквізіти навчальної дисципліни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900"/>
        </w:tabs>
        <w:spacing w:after="0" w:before="0" w:line="240" w:lineRule="auto"/>
        <w:ind w:left="0" w:right="0" w:firstLine="54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Передумовами вивчення дисципліни  є успішне засвоєння курсів, які складають базову мовну, мовознавчу та перекладознавчу підготовку, що охоплює первинні (теоретична фонетика, лексикологія, теоретична граматика, зіставне мовознавство) та вторинні (історія мови, стилістика, термінознавство, перекладознавство) лінгвістичні дисципліни, а також курс зарубіжної літератури, практичний курс першої та другої іноземної мови і практичний курс перекладу. Загальні та фахові компетенції, а також знання і навички, набуті під час опанування цих дисциплін, будуть корисні впродовж всього подальшого навчання – зокрема, для написання курсової та кваліфікаційної роботи магістра, для підготовки тез наукових доповідей і наукових статей.</w:t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900"/>
        </w:tabs>
        <w:spacing w:after="0" w:before="0" w:line="24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900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5.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1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Характеристика навчальної дисципліни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900"/>
        </w:tabs>
        <w:spacing w:after="0" w:before="0" w:line="240" w:lineRule="auto"/>
        <w:ind w:left="0" w:right="0" w:firstLine="54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3" w:firstLine="556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Згідно з вимогами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Стандарту вищої освіти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[Наказ МОН України № 871 від 20.06.2019] та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Освітньо-професійної програми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[Запоріжжя: НУЗП, 2024] здобувачі другого (магістерського) рівня вищої освіти мають набути таких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компетентностей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● інтегральна компетентність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(ІК)</w:t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Здатність розв’язувати складні спеціалізовані задачі та практичні проблеми в галузі лінгвістики, літературознавства, перекладу і міжкультурної комунікації у процесі професійної діяльності або навчання, що передбачає проведення наукових досліджень і характеризується комплексністю та невизначеністю умов і вимог.</w:t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● загальні компетентності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(ЗК)</w:t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58"/>
        </w:tabs>
        <w:spacing w:after="0" w:before="0" w:line="240" w:lineRule="auto"/>
        <w:ind w:left="118" w:right="110" w:firstLine="11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ЗК-1. Здатність спілкуватися державною мовою як усно, так і письмово. </w:t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58"/>
        </w:tabs>
        <w:spacing w:after="0" w:before="0" w:line="240" w:lineRule="auto"/>
        <w:ind w:left="118" w:right="110" w:firstLine="11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ЗК-3. Здатність до пошуку, опрацювання та аналізу інформації з різних джерел. </w:t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58"/>
        </w:tabs>
        <w:spacing w:after="0" w:before="0" w:line="240" w:lineRule="auto"/>
        <w:ind w:left="118" w:right="110" w:firstLine="11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ЗК-4. Уміння виявляти, ставити та вирішувати проблеми. </w:t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58"/>
        </w:tabs>
        <w:spacing w:after="0" w:before="0" w:line="240" w:lineRule="auto"/>
        <w:ind w:left="118" w:right="110" w:firstLine="11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ЗК-6. Здатність спілкуватися іноземною мовою. 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58"/>
        </w:tabs>
        <w:spacing w:after="0" w:before="0" w:line="240" w:lineRule="auto"/>
        <w:ind w:left="118" w:right="110" w:firstLine="11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ЗК-7. Здатність до абстрактного мислення, аналізу та синтезу. </w:t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58"/>
        </w:tabs>
        <w:spacing w:after="0" w:before="0" w:line="240" w:lineRule="auto"/>
        <w:ind w:left="118" w:right="110" w:firstLine="11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ЗК-8. Навички використання інформаційних і комунікаційних технологій.</w:t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58"/>
        </w:tabs>
        <w:spacing w:after="0" w:before="0" w:line="240" w:lineRule="auto"/>
        <w:ind w:left="118" w:right="110" w:firstLine="11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ЗК-11. Здатність проведення досліджень на належному рівні. </w:t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● спеціальні компетентності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(СК)</w:t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8" w:right="110" w:firstLine="328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СК-1. Здатність вільно орієнтуватися в різних лінгвістичних, напрямах і школах.</w:t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8" w:right="110" w:firstLine="328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СК-3. Здатність критично осмислювати історичні надбання та новітні досягнення філологічної науки.</w:t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8" w:right="110" w:firstLine="328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СК-4. Здатність здійснювати науковий аналіз і структурування мовного / мовленнєвого матеріалу й літературного матеріалу з урахуванням класичних і новітніх методологічних принципів. </w:t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8" w:right="110" w:firstLine="328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СК-5. Усвідомлення методологічного, організаційного та правового підґрунтя, необхідного для досліджень та/або інноваційних розробок у галузі філології, презентації їх результатів професійній спільноті та захисту інтелектуальної власності на результати досліджень та інновацій.</w:t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8" w:right="110" w:firstLine="328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СК-7. Здатність вільно користуватися спеціальною термінологією в обраній галузі філологічних досліджень.</w:t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СК-11. Володіння навичками науково-пошукової роботи у галузі філології, методами добору, аналізу й обробки даних, всебічно застосовувати їх у підготовці кваліфікаційної роботи.</w:t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567"/>
        </w:tabs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● програмні результати навчання (ПРН)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" w:right="0" w:firstLine="326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ПРН-3. Застосовувати сучасні методики й технології для успішного та ефективного здійснення професійної діяльності, забезпечення якості дослідження в конкретній філологічній галузі.</w:t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" w:right="0" w:firstLine="326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ПРН-7. Аналізувати, порівнювати й класифікувати різні напрями і школи в лінгвістиці.</w:t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" w:right="0" w:firstLine="326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ПРН-9. Характеризувати теоретичні засади (концепції, категорії, принципи, основні поняття тощо) та прикладні аспекти обраної філологічної спеціалізації.</w:t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" w:right="0" w:firstLine="326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ПРН-11. Здійснювати науковий аналіз мовного, мовленнєвого та літературного матеріалу, інтерпретувати та структурувати його з урахуванням доцільних методологічних принципів, формулювати узагальнення на основі самостійно опрацьованих даних.</w:t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" w:right="0" w:firstLine="326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ПРН-12. Дотримуватися правил академічної доброчесності.</w:t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" w:right="0" w:firstLine="326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ПРН-13. Доступно й аргументовано пояснювати сутність конкретних філологічних питань, власну точку зору на них та її обґрунтування як фахівцям, так і широкому загалу, зокрема особам, які навчаються.</w:t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" w:right="0" w:firstLine="326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ПРН-15. Обирати оптимальні дослідницькі підходи й методи для аналізу конкретного лінгвістичного чи літературного матеріалу. </w:t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" w:right="0" w:firstLine="326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ПРН-17. Планувати, організовувати, здійснювати і презентувати дослідження та/або інноваційні розробки в конкретній філологічній галузі. </w:t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567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567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6. Зміст навчальної дисципліни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567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18"/>
        </w:tabs>
        <w:spacing w:after="0" w:before="0" w:line="240" w:lineRule="auto"/>
        <w:ind w:left="0" w:right="0" w:firstLine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Змістовий модуль 1: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Теоретико-методологійні передумови наукових досліджень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80"/>
          <w:tab w:val="left" w:leader="none" w:pos="1418"/>
        </w:tabs>
        <w:spacing w:after="0" w:before="0" w:line="240" w:lineRule="auto"/>
        <w:ind w:left="18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Тема 1л. Наука як сфера людської діяльності. </w:t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80"/>
          <w:tab w:val="left" w:leader="none" w:pos="1418"/>
        </w:tabs>
        <w:spacing w:after="0" w:before="0" w:line="240" w:lineRule="auto"/>
        <w:ind w:left="18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Тема 2с. Наука як форма суспільної свідомості. </w:t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80"/>
          <w:tab w:val="left" w:leader="none" w:pos="1418"/>
        </w:tabs>
        <w:spacing w:after="0" w:before="0" w:line="240" w:lineRule="auto"/>
        <w:ind w:left="18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Тема 3л. Наукове пізнання та проблеми наукової творчості. </w:t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80"/>
        </w:tabs>
        <w:spacing w:after="0" w:before="0" w:line="240" w:lineRule="auto"/>
        <w:ind w:left="18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Тема 4с. Класифікація наук і регулювання наукової діяльності. </w:t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80"/>
        </w:tabs>
        <w:spacing w:after="0" w:before="0" w:line="240" w:lineRule="auto"/>
        <w:ind w:left="18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Тема 5л. Науково-дослідна діяльність студентів. </w:t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80"/>
        </w:tabs>
        <w:spacing w:after="0" w:before="0" w:line="240" w:lineRule="auto"/>
        <w:ind w:left="18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Тема 6с. Інформаційне забезпечення наукових досліджень. </w:t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80"/>
        </w:tabs>
        <w:spacing w:after="0" w:before="0" w:line="240" w:lineRule="auto"/>
        <w:ind w:left="18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Тема 7л. Основи наукової культури, наукової етики та академічної доброчесності. </w:t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18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Тема 8с. Академічна доброчесність та її соціальна значущість. </w:t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80"/>
        </w:tabs>
        <w:spacing w:after="0" w:before="0" w:line="240" w:lineRule="auto"/>
        <w:ind w:left="18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18"/>
        </w:tabs>
        <w:spacing w:after="0" w:before="0" w:line="240" w:lineRule="auto"/>
        <w:ind w:left="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18"/>
        </w:tabs>
        <w:spacing w:after="0" w:before="0" w:line="240" w:lineRule="auto"/>
        <w:ind w:left="0" w:right="0" w:firstLine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Змістовий модуль 2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: Методико-організаційні засади наукових досліджень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18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Тема 9л. Лінгвометодологія: парадигми,принципи підходи і напрями наук. досліджень.</w:t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18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Тема 10с. Кваліфікаційна робота магістра: визначення, зміст, структура</w:t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18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Тема 11л. Методичний інструментарій сучасних лінгвістичних досліджень (1). </w:t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18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Тема 12. Методика наукових досліджень у лінгвістиці</w:t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18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Тема 13. Методичний інструментарій сучасних лінгвістичних досліджень (2). 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18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Тема 14с. Кваліфікаційна робота магістра та методичні засади наукових пошуків. </w:t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18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Тема 15л. Актуальні проблеми світової та української лінгвістики: напрями і школи. </w:t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18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Тема 16с. Кваліфікаційна робота магістра: оформлення і підготовка публікацій.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1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7. Орієнтовний розподіл навчального часу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758.0" w:type="dxa"/>
        <w:jc w:val="left"/>
        <w:tblInd w:w="14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838"/>
        <w:gridCol w:w="900"/>
        <w:gridCol w:w="906"/>
        <w:gridCol w:w="509"/>
        <w:gridCol w:w="623"/>
        <w:gridCol w:w="585"/>
        <w:gridCol w:w="617"/>
        <w:gridCol w:w="921"/>
        <w:gridCol w:w="482"/>
        <w:gridCol w:w="457"/>
        <w:gridCol w:w="623"/>
        <w:gridCol w:w="585"/>
        <w:gridCol w:w="712"/>
        <w:tblGridChange w:id="0">
          <w:tblGrid>
            <w:gridCol w:w="1838"/>
            <w:gridCol w:w="900"/>
            <w:gridCol w:w="906"/>
            <w:gridCol w:w="509"/>
            <w:gridCol w:w="623"/>
            <w:gridCol w:w="585"/>
            <w:gridCol w:w="617"/>
            <w:gridCol w:w="921"/>
            <w:gridCol w:w="482"/>
            <w:gridCol w:w="457"/>
            <w:gridCol w:w="623"/>
            <w:gridCol w:w="585"/>
            <w:gridCol w:w="712"/>
          </w:tblGrid>
        </w:tblGridChange>
      </w:tblGrid>
      <w:tr>
        <w:trPr>
          <w:cantSplit w:val="1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Назви змістових модулів і тем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2"/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Кількість годин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urier New" w:cs="Courier New" w:eastAsia="Courier New" w:hAnsi="Courier Ne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денна форма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lef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urier New" w:cs="Courier New" w:eastAsia="Courier New" w:hAnsi="Courier Ne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заочна форма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urier New" w:cs="Courier New" w:eastAsia="Courier New" w:hAnsi="Courier Ne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усього </w:t>
            </w:r>
          </w:p>
        </w:tc>
        <w:tc>
          <w:tcPr>
            <w:gridSpan w:val="5"/>
            <w:tcBorders>
              <w:bottom w:color="000000" w:space="0" w:sz="4" w:val="dotted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у тому числі</w:t>
            </w:r>
          </w:p>
        </w:tc>
        <w:tc>
          <w:tcPr>
            <w:vMerge w:val="restart"/>
            <w:tcBorders>
              <w:left w:color="000000" w:space="0" w:sz="12" w:val="single"/>
            </w:tcBorders>
            <w:vAlign w:val="top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усього </w:t>
            </w:r>
          </w:p>
        </w:tc>
        <w:tc>
          <w:tcPr>
            <w:gridSpan w:val="5"/>
            <w:tcBorders>
              <w:bottom w:color="000000" w:space="0" w:sz="4" w:val="dotted"/>
            </w:tcBorders>
            <w:vAlign w:val="top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у тому числі</w:t>
            </w:r>
          </w:p>
        </w:tc>
      </w:tr>
      <w:tr>
        <w:trPr>
          <w:cantSplit w:val="1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л</w:t>
            </w:r>
          </w:p>
        </w:tc>
        <w:tc>
          <w:tcPr>
            <w:tcBorders>
              <w:top w:color="000000" w:space="0" w:sz="4" w:val="dotted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пр</w:t>
            </w:r>
          </w:p>
        </w:tc>
        <w:tc>
          <w:tcPr>
            <w:tcBorders>
              <w:top w:color="000000" w:space="0" w:sz="4" w:val="dotted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лаб</w:t>
            </w:r>
          </w:p>
        </w:tc>
        <w:tc>
          <w:tcPr>
            <w:tcBorders>
              <w:top w:color="000000" w:space="0" w:sz="4" w:val="dotted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с.</w:t>
            </w:r>
          </w:p>
        </w:tc>
        <w:tc>
          <w:tcPr>
            <w:tcBorders>
              <w:top w:color="000000" w:space="0" w:sz="4" w:val="dotted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с.р.</w:t>
            </w:r>
          </w:p>
        </w:tc>
        <w:tc>
          <w:tcPr>
            <w:vMerge w:val="continue"/>
            <w:tcBorders>
              <w:left w:color="000000" w:space="0" w:sz="12" w:val="single"/>
            </w:tcBorders>
            <w:vAlign w:val="top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л</w:t>
            </w:r>
          </w:p>
        </w:tc>
        <w:tc>
          <w:tcPr>
            <w:tcBorders>
              <w:top w:color="000000" w:space="0" w:sz="4" w:val="dotted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п</w:t>
            </w:r>
          </w:p>
        </w:tc>
        <w:tc>
          <w:tcPr>
            <w:tcBorders>
              <w:top w:color="000000" w:space="0" w:sz="4" w:val="dotted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лаб</w:t>
            </w:r>
          </w:p>
        </w:tc>
        <w:tc>
          <w:tcPr>
            <w:tcBorders>
              <w:top w:color="000000" w:space="0" w:sz="4" w:val="dotted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с</w:t>
            </w:r>
          </w:p>
        </w:tc>
        <w:tc>
          <w:tcPr>
            <w:tcBorders>
              <w:top w:color="000000" w:space="0" w:sz="4" w:val="dotted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с.р.</w:t>
            </w:r>
          </w:p>
        </w:tc>
      </w:tr>
      <w:tr>
        <w:trPr>
          <w:cantSplit w:val="0"/>
          <w:tblHeader w:val="0"/>
        </w:trPr>
        <w:tc>
          <w:tcPr>
            <w:gridSpan w:val="13"/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Змістовий модуль 1.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</w:tcBorders>
            <w:vAlign w:val="top"/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Тема 1. </w:t>
            </w:r>
          </w:p>
        </w:tc>
        <w:tc>
          <w:tcPr>
            <w:tcBorders>
              <w:top w:color="000000" w:space="0" w:sz="12" w:val="single"/>
            </w:tcBorders>
            <w:vAlign w:val="top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  <w:vAlign w:val="top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top w:color="000000" w:space="0" w:sz="12" w:val="single"/>
            </w:tcBorders>
            <w:vAlign w:val="top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  <w:vAlign w:val="top"/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  <w:vAlign w:val="top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</w:tcBorders>
            <w:vAlign w:val="top"/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  <w:vAlign w:val="top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top w:color="000000" w:space="0" w:sz="12" w:val="single"/>
            </w:tcBorders>
            <w:vAlign w:val="top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  <w:vAlign w:val="top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  <w:vAlign w:val="top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  <w:vAlign w:val="top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Тема 2.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left w:color="000000" w:space="0" w:sz="12" w:val="single"/>
            </w:tcBorders>
            <w:vAlign w:val="top"/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Тема 3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left w:color="000000" w:space="0" w:sz="12" w:val="single"/>
            </w:tcBorders>
            <w:vAlign w:val="top"/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Тема 4.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left w:color="000000" w:space="0" w:sz="12" w:val="single"/>
            </w:tcBorders>
            <w:vAlign w:val="top"/>
          </w:tcPr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Тема 5.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left w:color="000000" w:space="0" w:sz="12" w:val="single"/>
            </w:tcBorders>
            <w:vAlign w:val="top"/>
          </w:tcPr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Тема 6.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left w:color="000000" w:space="0" w:sz="12" w:val="single"/>
            </w:tcBorders>
            <w:vAlign w:val="top"/>
          </w:tcPr>
          <w:p w:rsidR="00000000" w:rsidDel="00000000" w:rsidP="00000000" w:rsidRDefault="00000000" w:rsidRPr="00000000" w14:paraId="000001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Тема 7.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1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left w:color="000000" w:space="0" w:sz="12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Тема 8.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bottom w:color="000000" w:space="0" w:sz="4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1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left w:color="000000" w:space="0" w:sz="12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ЗМ 1 разом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44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1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ff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34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36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13"/>
            <w:tcBorders>
              <w:top w:color="000000" w:space="0" w:sz="12" w:val="single"/>
            </w:tcBorders>
            <w:vAlign w:val="top"/>
          </w:tcPr>
          <w:p w:rsidR="00000000" w:rsidDel="00000000" w:rsidP="00000000" w:rsidRDefault="00000000" w:rsidRPr="00000000" w14:paraId="000001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Змістовий модуль 2.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Тема 9.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1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left w:color="000000" w:space="0" w:sz="12" w:val="single"/>
            </w:tcBorders>
            <w:vAlign w:val="top"/>
          </w:tcPr>
          <w:p w:rsidR="00000000" w:rsidDel="00000000" w:rsidP="00000000" w:rsidRDefault="00000000" w:rsidRPr="00000000" w14:paraId="000001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Тема 10.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1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left w:color="000000" w:space="0" w:sz="12" w:val="single"/>
            </w:tcBorders>
            <w:vAlign w:val="top"/>
          </w:tcPr>
          <w:p w:rsidR="00000000" w:rsidDel="00000000" w:rsidP="00000000" w:rsidRDefault="00000000" w:rsidRPr="00000000" w14:paraId="000001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Тема 11.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1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left w:color="000000" w:space="0" w:sz="12" w:val="single"/>
            </w:tcBorders>
            <w:vAlign w:val="top"/>
          </w:tcPr>
          <w:p w:rsidR="00000000" w:rsidDel="00000000" w:rsidP="00000000" w:rsidRDefault="00000000" w:rsidRPr="00000000" w14:paraId="000001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Тема 12.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1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left w:color="000000" w:space="0" w:sz="12" w:val="single"/>
            </w:tcBorders>
            <w:vAlign w:val="top"/>
          </w:tcPr>
          <w:p w:rsidR="00000000" w:rsidDel="00000000" w:rsidP="00000000" w:rsidRDefault="00000000" w:rsidRPr="00000000" w14:paraId="000001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Тема 13.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1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left w:color="000000" w:space="0" w:sz="12" w:val="single"/>
            </w:tcBorders>
            <w:vAlign w:val="top"/>
          </w:tcPr>
          <w:p w:rsidR="00000000" w:rsidDel="00000000" w:rsidP="00000000" w:rsidRDefault="00000000" w:rsidRPr="00000000" w14:paraId="000001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Тема 14.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1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left w:color="000000" w:space="0" w:sz="12" w:val="single"/>
            </w:tcBorders>
            <w:vAlign w:val="top"/>
          </w:tcPr>
          <w:p w:rsidR="00000000" w:rsidDel="00000000" w:rsidP="00000000" w:rsidRDefault="00000000" w:rsidRPr="00000000" w14:paraId="000001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8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8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Тема 15.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1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left w:color="000000" w:space="0" w:sz="12" w:val="single"/>
            </w:tcBorders>
            <w:vAlign w:val="top"/>
          </w:tcPr>
          <w:p w:rsidR="00000000" w:rsidDel="00000000" w:rsidP="00000000" w:rsidRDefault="00000000" w:rsidRPr="00000000" w14:paraId="000001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8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8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Тема 16.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2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left w:color="000000" w:space="0" w:sz="12" w:val="single"/>
            </w:tcBorders>
            <w:vAlign w:val="top"/>
          </w:tcPr>
          <w:p w:rsidR="00000000" w:rsidDel="00000000" w:rsidP="00000000" w:rsidRDefault="00000000" w:rsidRPr="00000000" w14:paraId="000002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ЗМ  2  разом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46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2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  <w:vAlign w:val="top"/>
          </w:tcPr>
          <w:p w:rsidR="00000000" w:rsidDel="00000000" w:rsidP="00000000" w:rsidRDefault="00000000" w:rsidRPr="00000000" w14:paraId="000002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50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48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Усього годин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90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2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58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90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84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513" w:right="0" w:hanging="6973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513" w:right="0" w:hanging="6973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1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8. Види навчальних занять та їх орієнтовний зміст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513" w:right="0" w:hanging="6973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758.0" w:type="dxa"/>
        <w:jc w:val="left"/>
        <w:tblInd w:w="14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78"/>
        <w:gridCol w:w="3420"/>
        <w:gridCol w:w="720"/>
        <w:gridCol w:w="5040"/>
        <w:tblGridChange w:id="0">
          <w:tblGrid>
            <w:gridCol w:w="578"/>
            <w:gridCol w:w="3420"/>
            <w:gridCol w:w="720"/>
            <w:gridCol w:w="50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2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№№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2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Тема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2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Л / 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2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Орієнтовний зміст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</w:tcBorders>
            <w:vAlign w:val="top"/>
          </w:tcPr>
          <w:p w:rsidR="00000000" w:rsidDel="00000000" w:rsidP="00000000" w:rsidRDefault="00000000" w:rsidRPr="00000000" w14:paraId="000002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677"/>
                <w:tab w:val="right" w:leader="none" w:pos="9355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tcBorders>
              <w:top w:color="000000" w:space="0" w:sz="12" w:val="single"/>
            </w:tcBorders>
            <w:vAlign w:val="top"/>
          </w:tcPr>
          <w:p w:rsidR="00000000" w:rsidDel="00000000" w:rsidP="00000000" w:rsidRDefault="00000000" w:rsidRPr="00000000" w14:paraId="000002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Наука як сфера людської діяльності</w:t>
            </w:r>
          </w:p>
        </w:tc>
        <w:tc>
          <w:tcPr>
            <w:tcBorders>
              <w:top w:color="000000" w:space="0" w:sz="12" w:val="single"/>
            </w:tcBorders>
            <w:vAlign w:val="top"/>
          </w:tcPr>
          <w:p w:rsidR="00000000" w:rsidDel="00000000" w:rsidP="00000000" w:rsidRDefault="00000000" w:rsidRPr="00000000" w14:paraId="000002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677"/>
                <w:tab w:val="right" w:leader="none" w:pos="9355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лекц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  <w:vAlign w:val="top"/>
          </w:tcPr>
          <w:p w:rsidR="00000000" w:rsidDel="00000000" w:rsidP="00000000" w:rsidRDefault="00000000" w:rsidRPr="00000000" w14:paraId="000002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  <w:tab w:val="left" w:leader="none" w:pos="1418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Наука та її цивілізаційна значущість. Наука – осереддя пізнавально-інформаційної системи суспільства. Наука як соціокультурний феномен. Науково-технічна революція як перетворення науки в продуктивну силу.  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677"/>
                <w:tab w:val="right" w:leader="none" w:pos="9355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Наука як форма суспільної свідомості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677"/>
                <w:tab w:val="right" w:leader="none" w:pos="9355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сем.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  <w:tab w:val="left" w:leader="none" w:pos="1418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Поняття суспільної свідомості. 2. Наука у структурі суспільної свідомості. 3. Наука у сфері гуманітарного знання: філософія і Н, мораль і Н; політика і Н, право і Н; релігія і Н, мистецтво і Н; філологія і Н. 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677"/>
                <w:tab w:val="right" w:leader="none" w:pos="9355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Структура науки та проблеми наукової творчості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677"/>
                <w:tab w:val="right" w:leader="none" w:pos="9355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лекц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  <w:tab w:val="left" w:leader="none" w:pos="1418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Основні структурні елементи науки. 2. Розвиток наукового знання і світогляд. 3. Наукові картини світу як результат наукових революцій. 4. Психологія наукової творчості та її організація. 5. Основні технологічні принципи наукової творчості. 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677"/>
                <w:tab w:val="right" w:leader="none" w:pos="9355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Класифікація наук і регулювання наукової діяльності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677"/>
                <w:tab w:val="right" w:leader="none" w:pos="9355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сем.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Передумови, принципи та параметри класифікації наук. Регулювання наукової діяльності за кордоном. Регулювання наукової діяльності в Україні. 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677"/>
                <w:tab w:val="right" w:leader="none" w:pos="9355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Науково-дослідна діяльність студентів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677"/>
                <w:tab w:val="right" w:leader="none" w:pos="9355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лекц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НДР студентів як необхідна складова їх професійного становлення. 2. Вимоги щодо особистісних якостей науковця-дослідника. 3. Роль інтелекту та світоглядних уявлень вченого у науковій діяльності. 4. Особливості організації науково-дослідної роботи майбутніх філологів. 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677"/>
                <w:tab w:val="right" w:leader="none" w:pos="9355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Інформаційне забезпечення наукових досліджень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677"/>
                <w:tab w:val="right" w:leader="none" w:pos="9355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сем.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Інформація: походження та сутнісні ознаки. Роль інформації в умовах інформаційного суспільства. Інформаційний підхід як метод наукового пізнання. Комп'ютерні технології.  Місце РС-технологій у філологічних розвідках.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677"/>
                <w:tab w:val="right" w:leader="none" w:pos="9355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Основи наукової культури і наукової етики. Академічна доброчесність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677"/>
                <w:tab w:val="right" w:leader="none" w:pos="9355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лекц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677"/>
                <w:tab w:val="right" w:leader="none" w:pos="9355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Ціннісний статус науки у сучасному суспільстві. 2. Етика і морально-ціннісні орієнтири сучасної науки. 4. Комунікативна культура науковця. 5. Інтелектуальна власність vs. плагіат. 6. Академічна доброчесність як невід'ємна складова комунікативної культури науковця.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24" w:val="single"/>
            </w:tcBorders>
            <w:vAlign w:val="top"/>
          </w:tcPr>
          <w:p w:rsidR="00000000" w:rsidDel="00000000" w:rsidP="00000000" w:rsidRDefault="00000000" w:rsidRPr="00000000" w14:paraId="000002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677"/>
                <w:tab w:val="right" w:leader="none" w:pos="9355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tcBorders>
              <w:top w:color="000000" w:space="0" w:sz="4" w:val="single"/>
              <w:bottom w:color="000000" w:space="0" w:sz="24" w:val="single"/>
            </w:tcBorders>
            <w:vAlign w:val="top"/>
          </w:tcPr>
          <w:p w:rsidR="00000000" w:rsidDel="00000000" w:rsidP="00000000" w:rsidRDefault="00000000" w:rsidRPr="00000000" w14:paraId="000002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Академічна доброчесність та її соціальна значущість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24" w:val="single"/>
            </w:tcBorders>
            <w:vAlign w:val="top"/>
          </w:tcPr>
          <w:p w:rsidR="00000000" w:rsidDel="00000000" w:rsidP="00000000" w:rsidRDefault="00000000" w:rsidRPr="00000000" w14:paraId="000002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677"/>
                <w:tab w:val="right" w:leader="none" w:pos="9355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сем.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24" w:val="single"/>
            </w:tcBorders>
            <w:vAlign w:val="top"/>
          </w:tcPr>
          <w:p w:rsidR="00000000" w:rsidDel="00000000" w:rsidP="00000000" w:rsidRDefault="00000000" w:rsidRPr="00000000" w14:paraId="000002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677"/>
                <w:tab w:val="right" w:leader="none" w:pos="9355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Академічна культура й етика у вищій освіті. Академічна свобода й відповідальність учасників освітнього процесу. Плагіат і його види. Антиплагіатні програми. Концепція академічної доброчесності. Законодавче поле академічної доброчесності. Кодекс академічної доброчесності студента.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24" w:val="single"/>
            </w:tcBorders>
            <w:vAlign w:val="top"/>
          </w:tcPr>
          <w:p w:rsidR="00000000" w:rsidDel="00000000" w:rsidP="00000000" w:rsidRDefault="00000000" w:rsidRPr="00000000" w14:paraId="000002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677"/>
                <w:tab w:val="right" w:leader="none" w:pos="9355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9.</w:t>
            </w:r>
          </w:p>
        </w:tc>
        <w:tc>
          <w:tcPr>
            <w:tcBorders>
              <w:top w:color="000000" w:space="0" w:sz="24" w:val="single"/>
            </w:tcBorders>
            <w:vAlign w:val="top"/>
          </w:tcPr>
          <w:p w:rsidR="00000000" w:rsidDel="00000000" w:rsidP="00000000" w:rsidRDefault="00000000" w:rsidRPr="00000000" w14:paraId="000002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Лінгвометодологія: методи, принципи, процедури, прийоми і напрями</w:t>
            </w:r>
          </w:p>
        </w:tc>
        <w:tc>
          <w:tcPr>
            <w:tcBorders>
              <w:top w:color="000000" w:space="0" w:sz="24" w:val="single"/>
            </w:tcBorders>
            <w:vAlign w:val="top"/>
          </w:tcPr>
          <w:p w:rsidR="00000000" w:rsidDel="00000000" w:rsidP="00000000" w:rsidRDefault="00000000" w:rsidRPr="00000000" w14:paraId="000002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677"/>
                <w:tab w:val="right" w:leader="none" w:pos="9355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лекц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24" w:val="single"/>
            </w:tcBorders>
            <w:vAlign w:val="top"/>
          </w:tcPr>
          <w:p w:rsidR="00000000" w:rsidDel="00000000" w:rsidP="00000000" w:rsidRDefault="00000000" w:rsidRPr="00000000" w14:paraId="000002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Лінгвометодологія: предмет, об’єкт і головні завдання. Ключові поняття лінгвометодологїї: методологія, парадигма, епістема. Головні наукові парадигми лінгвістики. Дослідницькі принципи парадигмального простору сучасної лінгвістики.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677"/>
                <w:tab w:val="right" w:leader="none" w:pos="9355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10.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Кваліфікаційна робота магістра: визначення, зміст, структура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677"/>
                <w:tab w:val="right" w:leader="none" w:pos="9355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сем.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Загальні вимоги до кваліфікаційної роботи. Структура і зміст КвР. Вступ і його композиція. Розділи і підрозділи. Загальні висновки. Список використаних джерел.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677"/>
                <w:tab w:val="right" w:leader="none" w:pos="9355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11.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Методичний інструментарій сучасних лінгвістичних досліджень (1)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677"/>
                <w:tab w:val="right" w:leader="none" w:pos="9355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лекц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Методи і методика наукових досліджень та їх диференціація. Загальнонаукові методи. Парадигмальна природа лінгвістичного методу в діахронії та синхронії. Парадигмальні методи. Міжпарадигмальні методи.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677"/>
                <w:tab w:val="right" w:leader="none" w:pos="9355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Кваліфікаційна робота магістра: Методика наукових досліджень у лінгвістиці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677"/>
                <w:tab w:val="right" w:leader="none" w:pos="9355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сем.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64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Сучасні підходи до розуміння методології та методики. Фундаментальна vs. спеціальна методологія. Конкретно-наукова методика (метод, прийом, техніка, процедура тощо). Методи і техніка лінгвістичних досліджень. Застосування логічних законів і правил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677"/>
                <w:tab w:val="right" w:leader="none" w:pos="9355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13.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Методичний інструментарій сучасних лінгвістичних досліджень (2)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677"/>
                <w:tab w:val="right" w:leader="none" w:pos="9355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лекц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68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</w:tabs>
              <w:spacing w:after="0" w:before="0" w:line="240" w:lineRule="auto"/>
              <w:ind w:left="0" w:right="21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Спеціальні / часткові методи лінгвістичних досліджень в синхронії. Таргетовані методи сучасних лінгвістичних досліджень. Типові когнітивно-дискурсивні методики. Методи аспектно-рівневої спрямованості. Методи перекладо- і термінознавства.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677"/>
                <w:tab w:val="right" w:leader="none" w:pos="9355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14.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6A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Кваліфікаційна робота магістра: наукові пошуки у прикладних галузях мовознавства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677"/>
                <w:tab w:val="right" w:leader="none" w:pos="9355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сем.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6D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Термінознавство як наука про шляхи і способи маркування спеціального знання. Основні техніки й методики вивчення терміносистем: специфіка і алгоритми. Перекладацькі трансформації як технологія вербального перекодування інформації. Типи і види перекладацьких трансформацій. Поверхневі та глибинні трансформації. Інші трансляційні методи. Художній vs галузевий переклад.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15.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Актуальні проблеми світової та української лінгвістики: напрями та школи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677"/>
                <w:tab w:val="right" w:leader="none" w:pos="9355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лекц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Семасіологія та ономасіологія. Соціолінгвістика. Когнітивна лінгвістика та лінгвоконцептологія. Комунікативна лінгвістика. Корпусна лінгвістика. Лінгвістика тексту і дискурсу. Перекладознавство.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Кваліфікаційна робота магістра: оформлення та підготовка публікацій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677"/>
                <w:tab w:val="right" w:leader="none" w:pos="9355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сем.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Загальні вимоги до оформлення КвР. Нумерації сторінок, розділів і підрозділів. Подання текстового матеріалу. Мова і стиль кваліфікаційної праці. Посилання, цитування та графічні об'єкти. Список використаних джерел і джерел емпіричного матеріалу. Додатки.</w:t>
            </w:r>
          </w:p>
        </w:tc>
      </w:tr>
    </w:tbl>
    <w:p w:rsidR="00000000" w:rsidDel="00000000" w:rsidP="00000000" w:rsidRDefault="00000000" w:rsidRPr="00000000" w14:paraId="000002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1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9. Методи та форми контролю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Методи контролю: усний контроль (опитування на семінарських заняттях, а для заочної форми навчання – на усному заліку), письмовий (підготовка матеріалів у формі тез відповідно до стандартних вимог до оформлення), а також методи самоконтролю і самооцінки.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41414"/>
          <w:sz w:val="26"/>
          <w:szCs w:val="26"/>
          <w:u w:val="none"/>
          <w:shd w:fill="auto" w:val="clear"/>
          <w:vertAlign w:val="baseline"/>
          <w:rtl w:val="0"/>
        </w:rPr>
        <w:t xml:space="preserve">Форми контролю: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усні відповіді за темами семінарських занять; оформлення матеріалів у формі тез відповідно до стандартних вимог до оформлення (із дотриманням принципів академічної доброчесності); залік (усна форма).</w:t>
      </w:r>
    </w:p>
    <w:p w:rsidR="00000000" w:rsidDel="00000000" w:rsidP="00000000" w:rsidRDefault="00000000" w:rsidRPr="00000000" w14:paraId="000002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1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10. Критерії оцінювання результатів навчання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Згідно з Положенням про організацію освітнього процесу в НУ «Запорізька політехніка»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superscript"/>
        </w:rPr>
        <w:footnoteReference w:customMarkFollows="0" w:id="0"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передбачено такі контрольні заходи: вхідний, поточний, рубіжний (модульний, тематичний, календарний), відстрочений, підсумковий та семестровий, а також комплексні контрольні роботи та ректорські контрольні роботи.</w:t>
      </w:r>
    </w:p>
    <w:p w:rsidR="00000000" w:rsidDel="00000000" w:rsidP="00000000" w:rsidRDefault="00000000" w:rsidRPr="00000000" w14:paraId="000002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Система контролю знань здобувачів вищої освіти з дисципліни передбачає поточний, рубіжний та підсумковий контроль (індивідуальне завдання та усний залік). </w:t>
      </w:r>
    </w:p>
    <w:p w:rsidR="00000000" w:rsidDel="00000000" w:rsidP="00000000" w:rsidRDefault="00000000" w:rsidRPr="00000000" w14:paraId="000002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Поточний контроль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проводиться під час аудиторних (семінарських) занять. Його основне завдання – перевірка рівня підготовки здобувачів вищої освіти до виконання конкретної роботи. Під час поточного контролю враховується: а) систематичність та активність роботи студентів на семінарських заняттях; б) виконання обов’язкових завдань самостійної роботи.</w:t>
      </w:r>
    </w:p>
    <w:p w:rsidR="00000000" w:rsidDel="00000000" w:rsidP="00000000" w:rsidRDefault="00000000" w:rsidRPr="00000000" w14:paraId="000002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Для здобувачів вищої освіти денної форми навчання поточний контроль та оцінювання знань здійснюється з урахуванням роботи на семінарських заняттях (активність, участь у дискусіях тощо). Результати поточного контролю є основою оцінювання знань під час заліку. До них приплюсовуються результати рубіжного контролю.</w:t>
      </w:r>
    </w:p>
    <w:p w:rsidR="00000000" w:rsidDel="00000000" w:rsidP="00000000" w:rsidRDefault="00000000" w:rsidRPr="00000000" w14:paraId="000002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Рубіжний / модульний контроль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– контроль знань здобувачів освіти після вивчення логічно завершеної частини навчальної програми дисципліни. Протягом семестру студенти проходять два рубіжних контролі по двом змістовим модулям. Цей контроль проводиться у вигляді модульної контрольної роботи або за результатом поточного контролю.</w:t>
      </w:r>
    </w:p>
    <w:p w:rsidR="00000000" w:rsidDel="00000000" w:rsidP="00000000" w:rsidRDefault="00000000" w:rsidRPr="00000000" w14:paraId="000002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Підсумковий контроль / семестровий контроль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з дисципліни проводиться за 100-бальною системою у формі заліку, під час якого перевіряється володіння студентом навчальним матеріалом, визначеним «Програмою навчальної дисципліни», і в терміни, встановлені цією ж програмою. Підсумкова оцінка з дисципліни, яка виставляється в екзаменаційну відомість, є сумою балів за різні види навчальної роботи (семінари, індивідуальне завдання, усний залік).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Здобувачі можуть отримати оцінку з дисципліни за результатами поточної роботи, рубіжних контролів. Підсумкова оцінка визначається як сумарна двох контролів за перший і другий змістові модулі та залікової оцінки.</w:t>
      </w:r>
    </w:p>
    <w:p w:rsidR="00000000" w:rsidDel="00000000" w:rsidP="00000000" w:rsidRDefault="00000000" w:rsidRPr="00000000" w14:paraId="00000284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815.999999999998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41"/>
        <w:gridCol w:w="506"/>
        <w:gridCol w:w="449"/>
        <w:gridCol w:w="447"/>
        <w:gridCol w:w="597"/>
        <w:gridCol w:w="450"/>
        <w:gridCol w:w="613"/>
        <w:gridCol w:w="532"/>
        <w:gridCol w:w="520"/>
        <w:gridCol w:w="522"/>
        <w:gridCol w:w="554"/>
        <w:gridCol w:w="558"/>
        <w:gridCol w:w="554"/>
        <w:gridCol w:w="558"/>
        <w:gridCol w:w="693"/>
        <w:gridCol w:w="548"/>
        <w:gridCol w:w="540"/>
        <w:gridCol w:w="634"/>
        <w:tblGridChange w:id="0">
          <w:tblGrid>
            <w:gridCol w:w="541"/>
            <w:gridCol w:w="506"/>
            <w:gridCol w:w="449"/>
            <w:gridCol w:w="447"/>
            <w:gridCol w:w="597"/>
            <w:gridCol w:w="450"/>
            <w:gridCol w:w="613"/>
            <w:gridCol w:w="532"/>
            <w:gridCol w:w="520"/>
            <w:gridCol w:w="522"/>
            <w:gridCol w:w="554"/>
            <w:gridCol w:w="558"/>
            <w:gridCol w:w="554"/>
            <w:gridCol w:w="558"/>
            <w:gridCol w:w="693"/>
            <w:gridCol w:w="548"/>
            <w:gridCol w:w="540"/>
            <w:gridCol w:w="634"/>
          </w:tblGrid>
        </w:tblGridChange>
      </w:tblGrid>
      <w:tr>
        <w:trPr>
          <w:cantSplit w:val="1"/>
          <w:trHeight w:val="899" w:hRule="atLeast"/>
          <w:tblHeader w:val="0"/>
        </w:trPr>
        <w:tc>
          <w:tcPr>
            <w:gridSpan w:val="16"/>
            <w:tcBorders>
              <w:top w:color="000000" w:space="0" w:sz="4" w:val="single"/>
            </w:tcBorders>
            <w:tcMar>
              <w:left w:w="57.0" w:type="dxa"/>
              <w:right w:w="57.0" w:type="dxa"/>
            </w:tcMar>
            <w:vAlign w:val="center"/>
          </w:tcPr>
          <w:p w:rsidR="00000000" w:rsidDel="00000000" w:rsidP="00000000" w:rsidRDefault="00000000" w:rsidRPr="00000000" w14:paraId="00000285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88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Поточне тестування та самостійна робота</w:t>
            </w:r>
          </w:p>
        </w:tc>
        <w:tc>
          <w:tcPr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295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88" w:right="11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Залік</w:t>
            </w:r>
          </w:p>
        </w:tc>
        <w:tc>
          <w:tcPr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296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Оцінка</w:t>
            </w:r>
          </w:p>
        </w:tc>
      </w:tr>
      <w:tr>
        <w:trPr>
          <w:cantSplit w:val="1"/>
          <w:trHeight w:val="351" w:hRule="atLeast"/>
          <w:tblHeader w:val="0"/>
        </w:trPr>
        <w:tc>
          <w:tcPr>
            <w:gridSpan w:val="10"/>
            <w:tcBorders>
              <w:right w:color="000000" w:space="0" w:sz="8" w:val="single"/>
            </w:tcBorders>
            <w:tcMar>
              <w:left w:w="57.0" w:type="dxa"/>
              <w:right w:w="57.0" w:type="dxa"/>
            </w:tcMar>
            <w:vAlign w:val="center"/>
          </w:tcPr>
          <w:p w:rsidR="00000000" w:rsidDel="00000000" w:rsidP="00000000" w:rsidRDefault="00000000" w:rsidRPr="00000000" w14:paraId="00000297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Змістовий модуль 1</w:t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2A1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Змістовий модуль 2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2A7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8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9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A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B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2AC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60 - 100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815" w:hRule="atLeast"/>
          <w:tblHeader w:val="0"/>
        </w:trPr>
        <w:tc>
          <w:tcPr>
            <w:tcBorders>
              <w:bottom w:color="000000" w:space="0" w:sz="12" w:val="single"/>
            </w:tcBorders>
            <w:tcMar>
              <w:left w:w="57.0" w:type="dxa"/>
              <w:right w:w="57.0" w:type="dxa"/>
            </w:tcMar>
            <w:vAlign w:val="top"/>
          </w:tcPr>
          <w:p w:rsidR="00000000" w:rsidDel="00000000" w:rsidP="00000000" w:rsidRDefault="00000000" w:rsidRPr="00000000" w14:paraId="000002AD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3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Т-1</w:t>
            </w:r>
          </w:p>
        </w:tc>
        <w:tc>
          <w:tcPr>
            <w:tcBorders>
              <w:bottom w:color="000000" w:space="0" w:sz="12" w:val="single"/>
            </w:tcBorders>
            <w:tcMar>
              <w:left w:w="57.0" w:type="dxa"/>
              <w:right w:w="57.0" w:type="dxa"/>
            </w:tcMar>
            <w:vAlign w:val="top"/>
          </w:tcPr>
          <w:p w:rsidR="00000000" w:rsidDel="00000000" w:rsidP="00000000" w:rsidRDefault="00000000" w:rsidRPr="00000000" w14:paraId="000002AE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3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Т-2</w:t>
            </w:r>
          </w:p>
        </w:tc>
        <w:tc>
          <w:tcPr>
            <w:tcBorders>
              <w:bottom w:color="000000" w:space="0" w:sz="12" w:val="single"/>
            </w:tcBorders>
            <w:tcMar>
              <w:left w:w="57.0" w:type="dxa"/>
              <w:right w:w="57.0" w:type="dxa"/>
            </w:tcMar>
            <w:vAlign w:val="top"/>
          </w:tcPr>
          <w:p w:rsidR="00000000" w:rsidDel="00000000" w:rsidP="00000000" w:rsidRDefault="00000000" w:rsidRPr="00000000" w14:paraId="000002AF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3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Т-3</w:t>
            </w:r>
          </w:p>
        </w:tc>
        <w:tc>
          <w:tcPr>
            <w:tcBorders>
              <w:bottom w:color="000000" w:space="0" w:sz="12" w:val="single"/>
            </w:tcBorders>
            <w:tcMar>
              <w:left w:w="57.0" w:type="dxa"/>
              <w:right w:w="57.0" w:type="dxa"/>
            </w:tcMar>
            <w:vAlign w:val="top"/>
          </w:tcPr>
          <w:p w:rsidR="00000000" w:rsidDel="00000000" w:rsidP="00000000" w:rsidRDefault="00000000" w:rsidRPr="00000000" w14:paraId="000002B0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3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Т-4</w:t>
            </w:r>
          </w:p>
        </w:tc>
        <w:tc>
          <w:tcPr>
            <w:tcBorders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2B1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3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Т-5</w:t>
            </w:r>
          </w:p>
        </w:tc>
        <w:tc>
          <w:tcPr>
            <w:tcBorders>
              <w:bottom w:color="000000" w:space="0" w:sz="12" w:val="single"/>
            </w:tcBorders>
            <w:tcMar>
              <w:left w:w="57.0" w:type="dxa"/>
              <w:right w:w="57.0" w:type="dxa"/>
            </w:tcMar>
            <w:vAlign w:val="top"/>
          </w:tcPr>
          <w:p w:rsidR="00000000" w:rsidDel="00000000" w:rsidP="00000000" w:rsidRDefault="00000000" w:rsidRPr="00000000" w14:paraId="000002B2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3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Т-6</w:t>
            </w:r>
          </w:p>
        </w:tc>
        <w:tc>
          <w:tcPr>
            <w:tcBorders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2B3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3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Т-7</w:t>
            </w:r>
          </w:p>
        </w:tc>
        <w:tc>
          <w:tcPr>
            <w:tcBorders>
              <w:bottom w:color="000000" w:space="0" w:sz="12" w:val="single"/>
            </w:tcBorders>
            <w:tcMar>
              <w:left w:w="57.0" w:type="dxa"/>
              <w:right w:w="57.0" w:type="dxa"/>
            </w:tcMar>
            <w:vAlign w:val="top"/>
          </w:tcPr>
          <w:p w:rsidR="00000000" w:rsidDel="00000000" w:rsidP="00000000" w:rsidRDefault="00000000" w:rsidRPr="00000000" w14:paraId="000002B4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3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Т-8</w:t>
            </w:r>
          </w:p>
        </w:tc>
        <w:tc>
          <w:tcPr>
            <w:tcBorders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2B5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3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Т-9</w:t>
            </w:r>
          </w:p>
        </w:tc>
        <w:tc>
          <w:tcPr>
            <w:tcBorders>
              <w:bottom w:color="000000" w:space="0" w:sz="12" w:val="single"/>
              <w:right w:color="000000" w:space="0" w:sz="8" w:val="single"/>
            </w:tcBorders>
            <w:tcMar>
              <w:left w:w="57.0" w:type="dxa"/>
              <w:right w:w="57.0" w:type="dxa"/>
            </w:tcMar>
            <w:vAlign w:val="top"/>
          </w:tcPr>
          <w:p w:rsidR="00000000" w:rsidDel="00000000" w:rsidP="00000000" w:rsidRDefault="00000000" w:rsidRPr="00000000" w14:paraId="000002B6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3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Т-10</w:t>
            </w:r>
          </w:p>
        </w:tc>
        <w:tc>
          <w:tcPr>
            <w:tcBorders>
              <w:left w:color="000000" w:space="0" w:sz="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2B7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3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Т-11</w:t>
            </w:r>
          </w:p>
        </w:tc>
        <w:tc>
          <w:tcPr>
            <w:tcBorders>
              <w:bottom w:color="000000" w:space="0" w:sz="12" w:val="single"/>
            </w:tcBorders>
            <w:tcMar>
              <w:left w:w="57.0" w:type="dxa"/>
              <w:right w:w="57.0" w:type="dxa"/>
            </w:tcMar>
            <w:vAlign w:val="top"/>
          </w:tcPr>
          <w:p w:rsidR="00000000" w:rsidDel="00000000" w:rsidP="00000000" w:rsidRDefault="00000000" w:rsidRPr="00000000" w14:paraId="000002B8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3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Т1-2</w:t>
            </w:r>
          </w:p>
        </w:tc>
        <w:tc>
          <w:tcPr>
            <w:tcBorders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2B9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3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Т-13</w:t>
            </w:r>
          </w:p>
        </w:tc>
        <w:tc>
          <w:tcPr>
            <w:tcBorders>
              <w:bottom w:color="000000" w:space="0" w:sz="12" w:val="single"/>
              <w:right w:color="000000" w:space="0" w:sz="8" w:val="single"/>
            </w:tcBorders>
            <w:tcMar>
              <w:left w:w="57.0" w:type="dxa"/>
              <w:right w:w="57.0" w:type="dxa"/>
            </w:tcMar>
            <w:vAlign w:val="top"/>
          </w:tcPr>
          <w:p w:rsidR="00000000" w:rsidDel="00000000" w:rsidP="00000000" w:rsidRDefault="00000000" w:rsidRPr="00000000" w14:paraId="000002BA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3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 -14</w:t>
            </w:r>
          </w:p>
        </w:tc>
        <w:tc>
          <w:tcPr>
            <w:tcBorders>
              <w:left w:color="000000" w:space="0" w:sz="8" w:val="single"/>
              <w:bottom w:color="000000" w:space="0" w:sz="12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BB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3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Т-15</w:t>
            </w:r>
          </w:p>
        </w:tc>
        <w:tc>
          <w:tcPr>
            <w:tcBorders>
              <w:left w:color="000000" w:space="0" w:sz="4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2BC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3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Т-16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60" w:hRule="atLeast"/>
          <w:tblHeader w:val="0"/>
        </w:trPr>
        <w:tc>
          <w:tcPr>
            <w:tcBorders>
              <w:top w:color="000000" w:space="0" w:sz="12" w:val="single"/>
              <w:bottom w:color="000000" w:space="0" w:sz="4" w:val="single"/>
            </w:tcBorders>
            <w:tcMar>
              <w:left w:w="57.0" w:type="dxa"/>
              <w:right w:w="57.0" w:type="dxa"/>
            </w:tcMar>
            <w:vAlign w:val="top"/>
          </w:tcPr>
          <w:p w:rsidR="00000000" w:rsidDel="00000000" w:rsidP="00000000" w:rsidRDefault="00000000" w:rsidRPr="00000000" w14:paraId="000002BF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4" w:val="single"/>
            </w:tcBorders>
            <w:tcMar>
              <w:left w:w="57.0" w:type="dxa"/>
              <w:right w:w="57.0" w:type="dxa"/>
            </w:tcMar>
            <w:vAlign w:val="top"/>
          </w:tcPr>
          <w:p w:rsidR="00000000" w:rsidDel="00000000" w:rsidP="00000000" w:rsidRDefault="00000000" w:rsidRPr="00000000" w14:paraId="000002C0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4" w:val="single"/>
            </w:tcBorders>
            <w:tcMar>
              <w:left w:w="57.0" w:type="dxa"/>
              <w:right w:w="57.0" w:type="dxa"/>
            </w:tcMar>
            <w:vAlign w:val="top"/>
          </w:tcPr>
          <w:p w:rsidR="00000000" w:rsidDel="00000000" w:rsidP="00000000" w:rsidRDefault="00000000" w:rsidRPr="00000000" w14:paraId="000002C1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4" w:val="single"/>
            </w:tcBorders>
            <w:tcMar>
              <w:left w:w="57.0" w:type="dxa"/>
              <w:right w:w="57.0" w:type="dxa"/>
            </w:tcMar>
            <w:vAlign w:val="top"/>
          </w:tcPr>
          <w:p w:rsidR="00000000" w:rsidDel="00000000" w:rsidP="00000000" w:rsidRDefault="00000000" w:rsidRPr="00000000" w14:paraId="000002C2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C3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4" w:val="single"/>
            </w:tcBorders>
            <w:tcMar>
              <w:left w:w="57.0" w:type="dxa"/>
              <w:right w:w="57.0" w:type="dxa"/>
            </w:tcMar>
            <w:vAlign w:val="top"/>
          </w:tcPr>
          <w:p w:rsidR="00000000" w:rsidDel="00000000" w:rsidP="00000000" w:rsidRDefault="00000000" w:rsidRPr="00000000" w14:paraId="000002C4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C5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4" w:val="single"/>
            </w:tcBorders>
            <w:tcMar>
              <w:left w:w="57.0" w:type="dxa"/>
              <w:right w:w="57.0" w:type="dxa"/>
            </w:tcMar>
            <w:vAlign w:val="top"/>
          </w:tcPr>
          <w:p w:rsidR="00000000" w:rsidDel="00000000" w:rsidP="00000000" w:rsidRDefault="00000000" w:rsidRPr="00000000" w14:paraId="000002C6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C7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4" w:val="single"/>
            </w:tcBorders>
            <w:tcMar>
              <w:left w:w="57.0" w:type="dxa"/>
              <w:right w:w="57.0" w:type="dxa"/>
            </w:tcMar>
            <w:vAlign w:val="top"/>
          </w:tcPr>
          <w:p w:rsidR="00000000" w:rsidDel="00000000" w:rsidP="00000000" w:rsidRDefault="00000000" w:rsidRPr="00000000" w14:paraId="000002C8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C9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4" w:val="single"/>
            </w:tcBorders>
            <w:tcMar>
              <w:left w:w="57.0" w:type="dxa"/>
              <w:right w:w="57.0" w:type="dxa"/>
            </w:tcMar>
            <w:vAlign w:val="top"/>
          </w:tcPr>
          <w:p w:rsidR="00000000" w:rsidDel="00000000" w:rsidP="00000000" w:rsidRDefault="00000000" w:rsidRPr="00000000" w14:paraId="000002CA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CB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4" w:val="single"/>
              <w:right w:color="000000" w:space="0" w:sz="8" w:val="single"/>
            </w:tcBorders>
            <w:tcMar>
              <w:left w:w="57.0" w:type="dxa"/>
              <w:right w:w="57.0" w:type="dxa"/>
            </w:tcMar>
            <w:vAlign w:val="top"/>
          </w:tcPr>
          <w:p w:rsidR="00000000" w:rsidDel="00000000" w:rsidP="00000000" w:rsidRDefault="00000000" w:rsidRPr="00000000" w14:paraId="000002CC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CD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CE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D1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Т-1, Т-2 ... Т-16 – теми змістових модулів. </w:t>
      </w:r>
    </w:p>
    <w:p w:rsidR="00000000" w:rsidDel="00000000" w:rsidP="00000000" w:rsidRDefault="00000000" w:rsidRPr="00000000" w14:paraId="000002D2">
      <w:pPr>
        <w:keepNext w:val="1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Контроль знань здобувачів вищої освіти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заочної форми навчання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здійснюється шляхом виконання та подальшого захисту контрольної роботи у вигляді відповідей на питання, що стосуються змісту роботи (40 балів за контрольну роботу та 20 балів за усний захист). Додатково (40 балів) вони отримують, оформлюючи одне з теоретичних питань у вигляді тез із дотриманням принципів академічної доброчесності.</w:t>
      </w:r>
    </w:p>
    <w:p w:rsidR="00000000" w:rsidDel="00000000" w:rsidP="00000000" w:rsidRDefault="00000000" w:rsidRPr="00000000" w14:paraId="000002D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  <w:t xml:space="preserve">Шкала оцінювання</w:t>
      </w:r>
      <w:r w:rsidDel="00000000" w:rsidR="00000000" w:rsidRPr="00000000">
        <w:rPr>
          <w:rtl w:val="0"/>
        </w:rPr>
      </w:r>
    </w:p>
    <w:tbl>
      <w:tblPr>
        <w:tblStyle w:val="Table6"/>
        <w:tblW w:w="9106.0" w:type="dxa"/>
        <w:jc w:val="left"/>
        <w:tblInd w:w="142.0" w:type="dxa"/>
        <w:tblLayout w:type="fixed"/>
        <w:tblLook w:val="0000"/>
      </w:tblPr>
      <w:tblGrid>
        <w:gridCol w:w="3142"/>
        <w:gridCol w:w="3544"/>
        <w:gridCol w:w="2420"/>
        <w:tblGridChange w:id="0">
          <w:tblGrid>
            <w:gridCol w:w="3142"/>
            <w:gridCol w:w="3544"/>
            <w:gridCol w:w="2420"/>
          </w:tblGrid>
        </w:tblGridChange>
      </w:tblGrid>
      <w:tr>
        <w:trPr>
          <w:cantSplit w:val="1"/>
          <w:trHeight w:val="45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Сума балів за всі види навчальної діяльності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Оцінка за національною шкалою</w:t>
            </w:r>
          </w:p>
        </w:tc>
      </w:tr>
      <w:tr>
        <w:trPr>
          <w:cantSplit w:val="1"/>
          <w:trHeight w:val="779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для екзамену, курсової </w:t>
            </w:r>
          </w:p>
          <w:p w:rsidR="00000000" w:rsidDel="00000000" w:rsidP="00000000" w:rsidRDefault="00000000" w:rsidRPr="00000000" w14:paraId="000002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роботи, практики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2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для заліку</w:t>
            </w:r>
          </w:p>
        </w:tc>
      </w:tr>
      <w:tr>
        <w:trPr>
          <w:cantSplit w:val="0"/>
          <w:trHeight w:val="39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60 – 100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60 – 100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2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зараховано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1-59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незадовільно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2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не зараховано</w:t>
            </w:r>
          </w:p>
        </w:tc>
      </w:tr>
    </w:tbl>
    <w:p w:rsidR="00000000" w:rsidDel="00000000" w:rsidP="00000000" w:rsidRDefault="00000000" w:rsidRPr="00000000" w14:paraId="000002E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11. Політика курсу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Під час навчання студенти зобов'язані:</w:t>
      </w:r>
    </w:p>
    <w:p w:rsidR="00000000" w:rsidDel="00000000" w:rsidP="00000000" w:rsidRDefault="00000000" w:rsidRPr="00000000" w14:paraId="000002E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- брати активну участь у навчальному процесі;</w:t>
      </w:r>
    </w:p>
    <w:p w:rsidR="00000000" w:rsidDel="00000000" w:rsidP="00000000" w:rsidRDefault="00000000" w:rsidRPr="00000000" w14:paraId="000002E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- самостійно і своєчасно вивчати матеріал пропущеного заняття;</w:t>
      </w:r>
    </w:p>
    <w:p w:rsidR="00000000" w:rsidDel="00000000" w:rsidP="00000000" w:rsidRDefault="00000000" w:rsidRPr="00000000" w14:paraId="000002E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- надавати достовірну інформацію про результати власної навчальної діяльності;</w:t>
      </w:r>
    </w:p>
    <w:p w:rsidR="00000000" w:rsidDel="00000000" w:rsidP="00000000" w:rsidRDefault="00000000" w:rsidRPr="00000000" w14:paraId="000002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- бути толерантним і доброзичливим до однокурсників і викладачів;</w:t>
      </w:r>
    </w:p>
    <w:p w:rsidR="00000000" w:rsidDel="00000000" w:rsidP="00000000" w:rsidRDefault="00000000" w:rsidRPr="00000000" w14:paraId="000002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- дотримуватися академічної доброчесності;</w:t>
      </w:r>
    </w:p>
    <w:p w:rsidR="00000000" w:rsidDel="00000000" w:rsidP="00000000" w:rsidRDefault="00000000" w:rsidRPr="00000000" w14:paraId="000002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- самостійно виконувати навчальні завдання;</w:t>
      </w:r>
    </w:p>
    <w:p w:rsidR="00000000" w:rsidDel="00000000" w:rsidP="00000000" w:rsidRDefault="00000000" w:rsidRPr="00000000" w14:paraId="000002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- дотримуватися норм законодавства про авторське право.</w:t>
      </w:r>
    </w:p>
    <w:p w:rsidR="00000000" w:rsidDel="00000000" w:rsidP="00000000" w:rsidRDefault="00000000" w:rsidRPr="00000000" w14:paraId="000002E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1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12. Методичне забезпечення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1. Стандарт вищої освіти за спеціальністю 035 «Філологія» галузі знань 03 «Гуманітарні науки» для другого (бакалаврського) рівня вищої освіти. Наказ МОН України № 871 від 20.06.2019. URL: 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00"/>
            <w:sz w:val="26"/>
            <w:szCs w:val="26"/>
            <w:u w:val="single"/>
            <w:shd w:fill="auto" w:val="clear"/>
            <w:vertAlign w:val="baseline"/>
            <w:rtl w:val="0"/>
          </w:rPr>
          <w:t xml:space="preserve">https://mon.gov.ua/storage/app/media/vishcha-osvita/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zatverdzeni% 20standarty/2019/06/25/035-filologi ya-bakalavr.pdf</w:t>
      </w:r>
    </w:p>
    <w:p w:rsidR="00000000" w:rsidDel="00000000" w:rsidP="00000000" w:rsidRDefault="00000000" w:rsidRPr="00000000" w14:paraId="000002F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2. Освітньо-професійна програма «Германські мови та літератури (переклад включно)» підготовки бакалавра зі спеціальності 035 «Філологія» НУ «Запорізька політехніка». Запоріжжя, 2024 [Затвердж. ВР 27.08.2024 р., пр. № 2].</w:t>
      </w:r>
    </w:p>
    <w:p w:rsidR="00000000" w:rsidDel="00000000" w:rsidP="00000000" w:rsidRDefault="00000000" w:rsidRPr="00000000" w14:paraId="000002F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3. Методичні вказівки до виконання курсових робіт для студентів магістратури за спеціальністю 035.04 – Германські мови та літератури (переклад включно) / Укл.:       А.Б. Підгорна, А.М. Приходько. Запоріжжя: НУ «Запорізька політехніка», 2018.</w:t>
      </w:r>
    </w:p>
    <w:p w:rsidR="00000000" w:rsidDel="00000000" w:rsidP="00000000" w:rsidRDefault="00000000" w:rsidRPr="00000000" w14:paraId="000002F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4. Методичні вказівки до виконання кваліфікаційних робіт студентами магістратури за освітньою програмою «Германські мови та літератури (переклад включно)» / Укл.: А. Б. Підгорна, А. М. Приходько. – Запоріжжя : НУ «Запорізька політехніка», 2023. 52 с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5. Методичні матеріали з дисципліни «Методологія, методика та організація наукових досліджень» для здобувачів вищої освіти другого (магістерського) рівня за освітньою програмою «Германські мови та літератури (переклад включно)» / Укл.: А.М. Приходько. Запоріжжя: НУ «Запорізька політехніка». 2025. </w:t>
      </w:r>
    </w:p>
    <w:p w:rsidR="00000000" w:rsidDel="00000000" w:rsidP="00000000" w:rsidRDefault="00000000" w:rsidRPr="00000000" w14:paraId="000002F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900"/>
        </w:tabs>
        <w:spacing w:after="0" w:before="0" w:line="240" w:lineRule="auto"/>
        <w:ind w:left="36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13. Перелік навчальної, наукової та довідкової літератури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7">
      <w:pPr>
        <w:keepNext w:val="0"/>
        <w:keepLines w:val="1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1. Важинський С.Е., Щербак Т І. Методика та організація наукових досліджень: Навч. посібн. Суми: СумДПУ ім. А. С. Макаренка. 2016. 260 с.</w:t>
      </w:r>
    </w:p>
    <w:p w:rsidR="00000000" w:rsidDel="00000000" w:rsidP="00000000" w:rsidRDefault="00000000" w:rsidRPr="00000000" w14:paraId="000002F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2. Білуха М. Т. Основи наукових досліджень. К.: Вища школа. 1997. 271 с.</w:t>
      </w:r>
    </w:p>
    <w:p w:rsidR="00000000" w:rsidDel="00000000" w:rsidP="00000000" w:rsidRDefault="00000000" w:rsidRPr="00000000" w14:paraId="000002F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3. Кириленко О. П. Методика та організація наукових досліджень. Тернопіль: Економічна думка. 2012. 196 с.</w:t>
      </w:r>
    </w:p>
    <w:p w:rsidR="00000000" w:rsidDel="00000000" w:rsidP="00000000" w:rsidRDefault="00000000" w:rsidRPr="00000000" w14:paraId="000002F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4. Крушельницька О.В. Методологія та організація наукових досліджень: Навч. пос. К.: Кондор. 2003. 192 с.</w:t>
      </w:r>
    </w:p>
    <w:p w:rsidR="00000000" w:rsidDel="00000000" w:rsidP="00000000" w:rsidRDefault="00000000" w:rsidRPr="00000000" w14:paraId="000002F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5. Стеченко Д.М., Чмир О.С. Методологія наукових досліджень. К.: Знання. 2005.    310 с.</w:t>
      </w:r>
    </w:p>
    <w:p w:rsidR="00000000" w:rsidDel="00000000" w:rsidP="00000000" w:rsidRDefault="00000000" w:rsidRPr="00000000" w14:paraId="000002F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76"/>
        </w:tabs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6. Таран В.О., Попович В.М. Методологія та організація наукових досліджень: Запоріжжя: НУ «Запорізька політехніка». 2022. 482 с. </w:t>
      </w:r>
    </w:p>
    <w:p w:rsidR="00000000" w:rsidDel="00000000" w:rsidP="00000000" w:rsidRDefault="00000000" w:rsidRPr="00000000" w14:paraId="000002F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76"/>
        </w:tabs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7. Фекта І. Ю. Методика та організація наукових досліджень. Методичні рекомендації з курсу для студентів магістрів. Ужгород: Говерла. 2020. 65 с.</w:t>
      </w:r>
    </w:p>
    <w:p w:rsidR="00000000" w:rsidDel="00000000" w:rsidP="00000000" w:rsidRDefault="00000000" w:rsidRPr="00000000" w14:paraId="000002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8. Чорненький Я.Я. Основи наукових досліджень. Організація самостійної та наукової роботи студента. К.: ВД «Професіонал». 2006. 208 с.</w:t>
      </w:r>
    </w:p>
    <w:p w:rsidR="00000000" w:rsidDel="00000000" w:rsidP="00000000" w:rsidRDefault="00000000" w:rsidRPr="00000000" w14:paraId="0000030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9. Шейко В.М., Кушнаренко Н.М. Організація та методика науково-дослідницької діяльності. К.: Знання-Прес, 2002. 295 с.</w:t>
      </w:r>
    </w:p>
    <w:p w:rsidR="00000000" w:rsidDel="00000000" w:rsidP="00000000" w:rsidRDefault="00000000" w:rsidRPr="00000000" w14:paraId="000003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10. Шеломенцев В. М. Етикет і сучасна культура спілкування. К.: Лібра. 2013. 416 с.</w:t>
      </w:r>
    </w:p>
    <w:p w:rsidR="00000000" w:rsidDel="00000000" w:rsidP="00000000" w:rsidRDefault="00000000" w:rsidRPr="00000000" w14:paraId="000003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76"/>
        </w:tabs>
        <w:spacing w:after="0" w:before="0" w:line="240" w:lineRule="auto"/>
        <w:ind w:left="567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365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14. Рекомендовані інформаційні джерела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5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1. Академічна доброчесність // Національний репозитарій академічних текстів: сайт. URL : https://nrat.ukrintei.ua/category/akademichna-dobrochesnist/</w:t>
      </w:r>
    </w:p>
    <w:p w:rsidR="00000000" w:rsidDel="00000000" w:rsidP="00000000" w:rsidRDefault="00000000" w:rsidRPr="00000000" w14:paraId="000003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2. Бібліотека НУ «Запорізька політехніка» </w:t>
      </w:r>
      <w:hyperlink r:id="rId13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00"/>
            <w:sz w:val="26"/>
            <w:szCs w:val="26"/>
            <w:u w:val="none"/>
            <w:shd w:fill="auto" w:val="clear"/>
            <w:vertAlign w:val="baseline"/>
            <w:rtl w:val="0"/>
          </w:rPr>
          <w:t xml:space="preserve">http://library.zp.edu.ua/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3. Електронна наукова бібліотека URL:  </w:t>
      </w:r>
      <w:hyperlink r:id="rId14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00"/>
            <w:sz w:val="26"/>
            <w:szCs w:val="26"/>
            <w:u w:val="none"/>
            <w:shd w:fill="auto" w:val="clear"/>
            <w:vertAlign w:val="baseline"/>
            <w:rtl w:val="0"/>
          </w:rPr>
          <w:t xml:space="preserve">http://scintific.narod.ru/literature.htm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4. Кодекс наукової етики. К.: Українська федерація вчених; Центр досліджень науково-технічного потенціалу та історії науки ім. Г.М. Доброва НАН України, 2005. URL: www.semynozhenko.net/ufv/files/kod_etiki.dok. </w:t>
      </w:r>
    </w:p>
    <w:p w:rsidR="00000000" w:rsidDel="00000000" w:rsidP="00000000" w:rsidRDefault="00000000" w:rsidRPr="00000000" w14:paraId="000003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5. Нагорічна О.С., Коновалов Ю.О. Законодавче забезпечення процесу державного регулювання наукової діяльності. URL : </w:t>
      </w:r>
      <w:hyperlink r:id="rId15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00"/>
            <w:sz w:val="26"/>
            <w:szCs w:val="26"/>
            <w:u w:val="none"/>
            <w:shd w:fill="auto" w:val="clear"/>
            <w:vertAlign w:val="baseline"/>
            <w:rtl w:val="0"/>
          </w:rPr>
          <w:t xml:space="preserve">http://www.dy.nayka.com.ua/?op=1&amp;z=724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3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6. Репозитарій НУ «ЗП» http://eir.zp.edu.ua/handle/123456789/386 2. </w:t>
      </w:r>
    </w:p>
    <w:p w:rsidR="00000000" w:rsidDel="00000000" w:rsidP="00000000" w:rsidRDefault="00000000" w:rsidRPr="00000000" w14:paraId="000003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7. Сидоренко Л.І. Етика науки. URL: </w:t>
      </w:r>
      <w:hyperlink r:id="rId16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00"/>
            <w:sz w:val="26"/>
            <w:szCs w:val="26"/>
            <w:u w:val="none"/>
            <w:shd w:fill="auto" w:val="clear"/>
            <w:vertAlign w:val="baseline"/>
            <w:rtl w:val="0"/>
          </w:rPr>
          <w:t xml:space="preserve">http://www.philsci.univ.kiev.ua/biblio/etik-sidorenko.html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.</w:t>
      </w:r>
    </w:p>
    <w:sectPr>
      <w:headerReference r:id="rId17" w:type="default"/>
      <w:footerReference r:id="rId18" w:type="default"/>
      <w:footerReference r:id="rId19" w:type="even"/>
      <w:pgSz w:h="16838" w:w="11906" w:orient="portrait"/>
      <w:pgMar w:bottom="992" w:top="1134" w:left="1418" w:right="567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0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31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1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0"/>
        <w:szCs w:val="1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3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0"/>
        </w:rPr>
        <w:t xml:space="preserve">Положення про організацію освітнього процесу Національного університету «Запорізька політехніка» / Укл. В. Грешта та ін. НУ «Запорізька політехніка», 2021. 41 с.</w:t>
      </w:r>
      <w:r w:rsidDel="00000000" w:rsidR="00000000" w:rsidRPr="00000000">
        <w:rPr>
          <w:rtl w:val="0"/>
        </w:rPr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0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30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0"/>
        <w:szCs w:val="1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hAnsi="Times New Roman"/>
      <w:w w:val="100"/>
      <w:position w:val="-1"/>
      <w:sz w:val="28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Заголовок1">
    <w:name w:val="Заголовок 1"/>
    <w:basedOn w:val="Обычный"/>
    <w:next w:val="Обычный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hAnsi="Times New Roman"/>
      <w:w w:val="100"/>
      <w:position w:val="-1"/>
      <w:sz w:val="32"/>
      <w:szCs w:val="24"/>
      <w:effect w:val="none"/>
      <w:vertAlign w:val="baseline"/>
      <w:cs w:val="0"/>
      <w:em w:val="none"/>
      <w:lang w:bidi="ar-SA" w:eastAsia="ru-RU" w:val="uk-UA"/>
    </w:rPr>
  </w:style>
  <w:style w:type="paragraph" w:styleId="Заголовок2">
    <w:name w:val="Заголовок 2"/>
    <w:basedOn w:val="Обычный"/>
    <w:next w:val="Обычный"/>
    <w:autoRedefine w:val="0"/>
    <w:hidden w:val="0"/>
    <w:qFormat w:val="0"/>
    <w:pPr>
      <w:keepNext w:val="1"/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1"/>
    </w:pPr>
    <w:rPr>
      <w:rFonts w:ascii="Arial" w:cs="Arial" w:hAnsi="Arial"/>
      <w:b w:val="1"/>
      <w:bCs w:val="1"/>
      <w:i w:val="1"/>
      <w:iCs w:val="1"/>
      <w:w w:val="100"/>
      <w:position w:val="-1"/>
      <w:sz w:val="28"/>
      <w:szCs w:val="28"/>
      <w:effect w:val="none"/>
      <w:vertAlign w:val="baseline"/>
      <w:cs w:val="0"/>
      <w:em w:val="none"/>
      <w:lang w:bidi="ar-SA" w:eastAsia="ru-RU" w:val="ru-RU"/>
    </w:rPr>
  </w:style>
  <w:style w:type="paragraph" w:styleId="Заголовок3">
    <w:name w:val="Заголовок 3"/>
    <w:basedOn w:val="Обычный"/>
    <w:next w:val="Обычный"/>
    <w:autoRedefine w:val="0"/>
    <w:hidden w:val="0"/>
    <w:qFormat w:val="0"/>
    <w:pPr>
      <w:keepNext w:val="1"/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2"/>
    </w:pPr>
    <w:rPr>
      <w:rFonts w:ascii="Arial" w:cs="Arial" w:hAnsi="Arial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  <w:lang w:bidi="ar-SA" w:eastAsia="ru-RU" w:val="ru-RU"/>
    </w:rPr>
  </w:style>
  <w:style w:type="paragraph" w:styleId="Заголовок4">
    <w:name w:val="Заголовок 4"/>
    <w:basedOn w:val="Обычный"/>
    <w:next w:val="Обычный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3"/>
    </w:pPr>
    <w:rPr>
      <w:rFonts w:ascii="Times New Roman" w:hAnsi="Times New Roman"/>
      <w:b w:val="1"/>
      <w:bCs w:val="1"/>
      <w:w w:val="100"/>
      <w:position w:val="-1"/>
      <w:sz w:val="28"/>
      <w:szCs w:val="24"/>
      <w:effect w:val="none"/>
      <w:vertAlign w:val="baseline"/>
      <w:cs w:val="0"/>
      <w:em w:val="none"/>
      <w:lang w:bidi="ar-SA" w:eastAsia="ru-RU" w:val="uk-UA"/>
    </w:rPr>
  </w:style>
  <w:style w:type="paragraph" w:styleId="Заголовок7">
    <w:name w:val="Заголовок 7"/>
    <w:basedOn w:val="Обычный"/>
    <w:next w:val="Обычный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="600" w:firstLineChars="-1"/>
      <w:jc w:val="center"/>
      <w:textDirection w:val="btLr"/>
      <w:textAlignment w:val="top"/>
      <w:outlineLvl w:val="6"/>
    </w:pPr>
    <w:rPr>
      <w:rFonts w:ascii="Times New Roman" w:hAnsi="Times New Roman"/>
      <w:b w:val="1"/>
      <w:bCs w:val="1"/>
      <w:w w:val="100"/>
      <w:position w:val="-1"/>
      <w:sz w:val="28"/>
      <w:szCs w:val="24"/>
      <w:effect w:val="none"/>
      <w:vertAlign w:val="baseline"/>
      <w:cs w:val="0"/>
      <w:em w:val="none"/>
      <w:lang w:bidi="ar-SA" w:eastAsia="ru-RU" w:val="uk-UA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Обычнаятаблица"/>
      <w:jc w:val="left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ЗнакЗнак15">
    <w:name w:val="Знак Знак15"/>
    <w:next w:val="ЗнакЗнак15"/>
    <w:autoRedefine w:val="0"/>
    <w:hidden w:val="0"/>
    <w:qFormat w:val="0"/>
    <w:rPr>
      <w:rFonts w:ascii="Times New Roman" w:cs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eastAsia="ru-RU" w:val="uk-UA"/>
    </w:rPr>
  </w:style>
  <w:style w:type="character" w:styleId="ЗнакЗнак14">
    <w:name w:val="Знак Знак14"/>
    <w:next w:val="ЗнакЗнак14"/>
    <w:autoRedefine w:val="0"/>
    <w:hidden w:val="0"/>
    <w:qFormat w:val="0"/>
    <w:rPr>
      <w:rFonts w:ascii="Arial" w:cs="Arial" w:hAnsi="Arial"/>
      <w:b w:val="1"/>
      <w:bCs w:val="1"/>
      <w:i w:val="1"/>
      <w:iCs w:val="1"/>
      <w:w w:val="100"/>
      <w:position w:val="-1"/>
      <w:sz w:val="28"/>
      <w:szCs w:val="28"/>
      <w:effect w:val="none"/>
      <w:vertAlign w:val="baseline"/>
      <w:cs w:val="0"/>
      <w:em w:val="none"/>
      <w:lang w:eastAsia="ru-RU"/>
    </w:rPr>
  </w:style>
  <w:style w:type="character" w:styleId="ЗнакЗнак13">
    <w:name w:val="Знак Знак13"/>
    <w:next w:val="ЗнакЗнак13"/>
    <w:autoRedefine w:val="0"/>
    <w:hidden w:val="0"/>
    <w:qFormat w:val="0"/>
    <w:rPr>
      <w:rFonts w:ascii="Cambria" w:cs="Times New Roman" w:hAnsi="Cambria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  <w:lang w:eastAsia="ru-RU" w:val="ru-RU"/>
    </w:rPr>
  </w:style>
  <w:style w:type="character" w:styleId="ЗнакЗнак12">
    <w:name w:val="Знак Знак12"/>
    <w:next w:val="ЗнакЗнак12"/>
    <w:autoRedefine w:val="0"/>
    <w:hidden w:val="0"/>
    <w:qFormat w:val="0"/>
    <w:rPr>
      <w:rFonts w:ascii="Times New Roman" w:cs="Times New Roman" w:hAnsi="Times New Roman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eastAsia="ru-RU" w:val="uk-UA"/>
    </w:rPr>
  </w:style>
  <w:style w:type="character" w:styleId="ЗнакЗнак11">
    <w:name w:val="Знак Знак11"/>
    <w:next w:val="ЗнакЗнак11"/>
    <w:autoRedefine w:val="0"/>
    <w:hidden w:val="0"/>
    <w:qFormat w:val="0"/>
    <w:rPr>
      <w:rFonts w:ascii="Times New Roman" w:cs="Times New Roman" w:hAnsi="Times New Roman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eastAsia="ru-RU" w:val="uk-UA"/>
    </w:rPr>
  </w:style>
  <w:style w:type="paragraph" w:styleId="Текствыноски">
    <w:name w:val="Текст выноски"/>
    <w:basedOn w:val="Обычный"/>
    <w:next w:val="Текствыноски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ru-RU" w:val="ru-RU"/>
    </w:rPr>
  </w:style>
  <w:style w:type="character" w:styleId="ЗнакЗнак10">
    <w:name w:val="Знак Знак10"/>
    <w:next w:val="ЗнакЗнак10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eastAsia="ru-RU"/>
    </w:rPr>
  </w:style>
  <w:style w:type="paragraph" w:styleId="Основнойтекст">
    <w:name w:val="Основной текст"/>
    <w:basedOn w:val="Обычный"/>
    <w:next w:val="Основнойтекст"/>
    <w:autoRedefine w:val="0"/>
    <w:hidden w:val="0"/>
    <w:qFormat w:val="0"/>
    <w:pPr>
      <w:suppressAutoHyphens w:val="1"/>
      <w:spacing w:after="12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hAnsi="Times New Roman"/>
      <w:w w:val="100"/>
      <w:position w:val="-1"/>
      <w:sz w:val="28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ЗнакЗнак9">
    <w:name w:val="Знак Знак9"/>
    <w:next w:val="ЗнакЗнак9"/>
    <w:autoRedefine w:val="0"/>
    <w:hidden w:val="0"/>
    <w:qFormat w:val="0"/>
    <w:rPr>
      <w:rFonts w:ascii="Times New Roman" w:cs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eastAsia="ru-RU"/>
    </w:rPr>
  </w:style>
  <w:style w:type="paragraph" w:styleId="Основнойтекст2">
    <w:name w:val="Основной текст 2"/>
    <w:basedOn w:val="Обычный"/>
    <w:next w:val="Основнойтекст2"/>
    <w:autoRedefine w:val="0"/>
    <w:hidden w:val="0"/>
    <w:qFormat w:val="0"/>
    <w:pPr>
      <w:suppressAutoHyphens w:val="1"/>
      <w:spacing w:after="120" w:line="480" w:lineRule="auto"/>
      <w:ind w:leftChars="-1" w:rightChars="0" w:firstLineChars="-1"/>
      <w:textDirection w:val="btLr"/>
      <w:textAlignment w:val="top"/>
      <w:outlineLvl w:val="0"/>
    </w:pPr>
    <w:rPr>
      <w:rFonts w:ascii="Calibri" w:cs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uk-UA"/>
    </w:rPr>
  </w:style>
  <w:style w:type="character" w:styleId="ЗнакЗнак8">
    <w:name w:val="Знак Знак8"/>
    <w:next w:val="ЗнакЗнак8"/>
    <w:autoRedefine w:val="0"/>
    <w:hidden w:val="0"/>
    <w:qFormat w:val="0"/>
    <w:rPr>
      <w:rFonts w:ascii="Calibri" w:cs="Calibri" w:hAnsi="Calibri"/>
      <w:w w:val="100"/>
      <w:position w:val="-1"/>
      <w:effect w:val="none"/>
      <w:vertAlign w:val="baseline"/>
      <w:cs w:val="0"/>
      <w:em w:val="none"/>
      <w:lang w:val="uk-UA"/>
    </w:rPr>
  </w:style>
  <w:style w:type="paragraph" w:styleId="Основнойтекст3">
    <w:name w:val="Основной текст 3"/>
    <w:basedOn w:val="Обычный"/>
    <w:next w:val="Основнойтекст3"/>
    <w:autoRedefine w:val="0"/>
    <w:hidden w:val="0"/>
    <w:qFormat w:val="0"/>
    <w:pPr>
      <w:suppressAutoHyphens w:val="1"/>
      <w:spacing w:after="12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hAnsi="Times New Roman"/>
      <w:w w:val="100"/>
      <w:position w:val="-1"/>
      <w:sz w:val="16"/>
      <w:szCs w:val="16"/>
      <w:effect w:val="none"/>
      <w:vertAlign w:val="baseline"/>
      <w:cs w:val="0"/>
      <w:em w:val="none"/>
      <w:lang w:bidi="ar-SA" w:eastAsia="ru-RU" w:val="ru-RU"/>
    </w:rPr>
  </w:style>
  <w:style w:type="character" w:styleId="ЗнакЗнак7">
    <w:name w:val="Знак Знак7"/>
    <w:next w:val="ЗнакЗнак7"/>
    <w:autoRedefine w:val="0"/>
    <w:hidden w:val="0"/>
    <w:qFormat w:val="0"/>
    <w:rPr>
      <w:rFonts w:ascii="Times New Roman" w:cs="Times New Roman" w:hAnsi="Times New Roman"/>
      <w:w w:val="100"/>
      <w:position w:val="-1"/>
      <w:sz w:val="16"/>
      <w:szCs w:val="16"/>
      <w:effect w:val="none"/>
      <w:vertAlign w:val="baseline"/>
      <w:cs w:val="0"/>
      <w:em w:val="none"/>
      <w:lang w:eastAsia="ru-RU"/>
    </w:rPr>
  </w:style>
  <w:style w:type="paragraph" w:styleId="Основнойтекстсотступом">
    <w:name w:val="Основной текст с отступом"/>
    <w:basedOn w:val="Обычный"/>
    <w:next w:val="Основнойтекстсотступом"/>
    <w:autoRedefine w:val="0"/>
    <w:hidden w:val="0"/>
    <w:qFormat w:val="0"/>
    <w:pPr>
      <w:suppressAutoHyphens w:val="1"/>
      <w:spacing w:after="120" w:line="1" w:lineRule="atLeast"/>
      <w:ind w:left="283" w:leftChars="-1" w:rightChars="0" w:firstLineChars="-1"/>
      <w:textDirection w:val="btLr"/>
      <w:textAlignment w:val="top"/>
      <w:outlineLvl w:val="0"/>
    </w:pPr>
    <w:rPr>
      <w:rFonts w:ascii="Times New Roman" w:hAnsi="Times New Roman"/>
      <w:w w:val="100"/>
      <w:position w:val="-1"/>
      <w:sz w:val="28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ЗнакЗнак6">
    <w:name w:val="Знак Знак6"/>
    <w:next w:val="ЗнакЗнак6"/>
    <w:autoRedefine w:val="0"/>
    <w:hidden w:val="0"/>
    <w:qFormat w:val="0"/>
    <w:rPr>
      <w:rFonts w:ascii="Times New Roman" w:cs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eastAsia="ru-RU"/>
    </w:rPr>
  </w:style>
  <w:style w:type="paragraph" w:styleId="Основнойтекстсотступом2">
    <w:name w:val="Основной текст с отступом 2"/>
    <w:basedOn w:val="Обычный"/>
    <w:next w:val="Основнойтекстсотступом2"/>
    <w:autoRedefine w:val="0"/>
    <w:hidden w:val="0"/>
    <w:qFormat w:val="0"/>
    <w:pPr>
      <w:suppressAutoHyphens w:val="1"/>
      <w:spacing w:after="120" w:line="480" w:lineRule="auto"/>
      <w:ind w:left="283" w:leftChars="-1" w:rightChars="0" w:firstLineChars="-1"/>
      <w:textDirection w:val="btLr"/>
      <w:textAlignment w:val="top"/>
      <w:outlineLvl w:val="0"/>
    </w:pPr>
    <w:rPr>
      <w:rFonts w:ascii="Times New Roman" w:hAnsi="Times New Roman"/>
      <w:w w:val="100"/>
      <w:position w:val="-1"/>
      <w:sz w:val="28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ЗнакЗнак5">
    <w:name w:val="Знак Знак5"/>
    <w:next w:val="ЗнакЗнак5"/>
    <w:autoRedefine w:val="0"/>
    <w:hidden w:val="0"/>
    <w:qFormat w:val="0"/>
    <w:rPr>
      <w:rFonts w:ascii="Times New Roman" w:cs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eastAsia="ru-RU"/>
    </w:rPr>
  </w:style>
  <w:style w:type="character" w:styleId="Просмотреннаягиперссылка">
    <w:name w:val="Просмотренная гиперссылка"/>
    <w:next w:val="Просмотреннаягиперссылка"/>
    <w:autoRedefine w:val="0"/>
    <w:hidden w:val="0"/>
    <w:qFormat w:val="0"/>
    <w:rPr>
      <w:color w:val="800080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Нижнийколонтитул">
    <w:name w:val="Нижний колонтитул"/>
    <w:basedOn w:val="Обычный"/>
    <w:next w:val="Ниж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hAnsi="Times New Roman"/>
      <w:w w:val="100"/>
      <w:position w:val="-1"/>
      <w:sz w:val="28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ЗнакЗнак4">
    <w:name w:val="Знак Знак4"/>
    <w:next w:val="ЗнакЗнак4"/>
    <w:autoRedefine w:val="0"/>
    <w:hidden w:val="0"/>
    <w:qFormat w:val="0"/>
    <w:rPr>
      <w:rFonts w:ascii="Times New Roman" w:cs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eastAsia="ru-RU"/>
    </w:rPr>
  </w:style>
  <w:style w:type="character" w:styleId="Знаксноски">
    <w:name w:val="Знак сноски"/>
    <w:next w:val="Знаксноски"/>
    <w:autoRedefine w:val="0"/>
    <w:hidden w:val="0"/>
    <w:qFormat w:val="0"/>
    <w:rPr>
      <w:rFonts w:ascii="Times New Roman" w:hAnsi="Times New Roman"/>
      <w:w w:val="100"/>
      <w:position w:val="-1"/>
      <w:effect w:val="none"/>
      <w:vertAlign w:val="superscript"/>
      <w:cs w:val="0"/>
      <w:em w:val="none"/>
      <w:lang/>
    </w:rPr>
  </w:style>
  <w:style w:type="paragraph" w:styleId="Текстсноски">
    <w:name w:val="Текст сноски"/>
    <w:basedOn w:val="Обычный"/>
    <w:next w:val="Текстсноски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eastAsia="Times New Roman" w:hAnsi="Calibri"/>
      <w:w w:val="100"/>
      <w:position w:val="-1"/>
      <w:sz w:val="20"/>
      <w:szCs w:val="20"/>
      <w:effect w:val="none"/>
      <w:vertAlign w:val="baseline"/>
      <w:cs w:val="0"/>
      <w:em w:val="none"/>
      <w:lang w:bidi="ar-SA" w:eastAsia="ru-RU" w:val="de-DE"/>
    </w:rPr>
  </w:style>
  <w:style w:type="character" w:styleId="ЗнакЗнак3">
    <w:name w:val="Знак Знак3"/>
    <w:next w:val="ЗнакЗнак3"/>
    <w:autoRedefine w:val="0"/>
    <w:hidden w:val="0"/>
    <w:qFormat w:val="0"/>
    <w:rPr>
      <w:rFonts w:ascii="Times New Roman" w:cs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eastAsia="ru-RU" w:val="ru-RU"/>
    </w:rPr>
  </w:style>
  <w:style w:type="paragraph" w:styleId="Верхнийколонтитул">
    <w:name w:val="Верхний колонтитул"/>
    <w:basedOn w:val="Обычный"/>
    <w:next w:val="Верх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ЗнакЗнак2">
    <w:name w:val="Знак Знак2"/>
    <w:next w:val="ЗнакЗнак2"/>
    <w:autoRedefine w:val="0"/>
    <w:hidden w:val="0"/>
    <w:qFormat w:val="0"/>
    <w:rPr>
      <w:rFonts w:ascii="Times New Roman" w:cs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eastAsia="ru-RU"/>
    </w:rPr>
  </w:style>
  <w:style w:type="character" w:styleId="Гиперссылка">
    <w:name w:val="Гиперссылка"/>
    <w:next w:val="Гиперссылка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Обычный(веб)">
    <w:name w:val="Обычный (веб)"/>
    <w:basedOn w:val="Обычный"/>
    <w:next w:val="Обычный(веб)"/>
    <w:autoRedefine w:val="0"/>
    <w:hidden w:val="0"/>
    <w:qFormat w:val="0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Номерстраницы">
    <w:name w:val="Номер страницы"/>
    <w:next w:val="Номерстраницы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Текст">
    <w:name w:val="Текст"/>
    <w:basedOn w:val="Обычный"/>
    <w:next w:val="Текст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ourier New" w:cs="Courier New" w:hAnsi="Courier New"/>
      <w:w w:val="100"/>
      <w:position w:val="-1"/>
      <w:sz w:val="20"/>
      <w:szCs w:val="20"/>
      <w:effect w:val="none"/>
      <w:vertAlign w:val="baseline"/>
      <w:cs w:val="0"/>
      <w:em w:val="none"/>
      <w:lang w:bidi="ar-SA" w:eastAsia="ru-RU" w:val="ru-RU"/>
    </w:rPr>
  </w:style>
  <w:style w:type="character" w:styleId="ЗнакЗнак1">
    <w:name w:val="Знак Знак1"/>
    <w:next w:val="ЗнакЗнак1"/>
    <w:autoRedefine w:val="0"/>
    <w:hidden w:val="0"/>
    <w:qFormat w:val="0"/>
    <w:rPr>
      <w:rFonts w:ascii="Courier New" w:cs="Courier New" w:hAnsi="Courier New"/>
      <w:w w:val="100"/>
      <w:position w:val="-1"/>
      <w:sz w:val="20"/>
      <w:szCs w:val="20"/>
      <w:effect w:val="none"/>
      <w:vertAlign w:val="baseline"/>
      <w:cs w:val="0"/>
      <w:em w:val="none"/>
      <w:lang w:eastAsia="ru-RU"/>
    </w:rPr>
  </w:style>
  <w:style w:type="character" w:styleId="Строгий">
    <w:name w:val="Строгий"/>
    <w:next w:val="Строгий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table" w:styleId="Сеткатаблицы">
    <w:name w:val="Сетка таблицы"/>
    <w:basedOn w:val="Обычнаятаблица"/>
    <w:next w:val="Сеткатаблицы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  <w:lang w:bidi="ar-SA" w:eastAsia="en-US" w:val="en-US"/>
    </w:rPr>
    <w:tblPr>
      <w:tblStyle w:val="Сеткатаблицы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Название">
    <w:name w:val="Название"/>
    <w:basedOn w:val="Обычный"/>
    <w:next w:val="Название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Calibri" w:cs="Calibri" w:hAnsi="Calibri"/>
      <w:w w:val="100"/>
      <w:position w:val="-1"/>
      <w:sz w:val="40"/>
      <w:szCs w:val="40"/>
      <w:effect w:val="none"/>
      <w:vertAlign w:val="baseline"/>
      <w:cs w:val="0"/>
      <w:em w:val="none"/>
      <w:lang w:bidi="ar-SA" w:eastAsia="ru-RU" w:val="ru-RU"/>
    </w:rPr>
  </w:style>
  <w:style w:type="character" w:styleId="ЗнакЗнак">
    <w:name w:val="Знак Знак"/>
    <w:next w:val="ЗнакЗнак"/>
    <w:autoRedefine w:val="0"/>
    <w:hidden w:val="0"/>
    <w:qFormat w:val="0"/>
    <w:rPr>
      <w:rFonts w:ascii="Calibri" w:cs="Calibri" w:hAnsi="Calibri"/>
      <w:w w:val="100"/>
      <w:position w:val="-1"/>
      <w:sz w:val="40"/>
      <w:szCs w:val="40"/>
      <w:effect w:val="none"/>
      <w:vertAlign w:val="baseline"/>
      <w:cs w:val="0"/>
      <w:em w:val="none"/>
      <w:lang w:eastAsia="ru-RU"/>
    </w:rPr>
  </w:style>
  <w:style w:type="character" w:styleId="ТекстсноскиЗнак">
    <w:name w:val="Текст сноски Знак"/>
    <w:next w:val="ТекстсноскиЗнак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eastAsia="ru-RU" w:val="de-DE"/>
    </w:rPr>
  </w:style>
  <w:style w:type="paragraph" w:styleId="FR2">
    <w:name w:val="FR2"/>
    <w:next w:val="FR2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before="220" w:line="1" w:lineRule="atLeast"/>
      <w:ind w:left="40" w:leftChars="-1" w:rightChars="0" w:hanging="2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sz w:val="18"/>
      <w:szCs w:val="18"/>
      <w:effect w:val="none"/>
      <w:vertAlign w:val="baseline"/>
      <w:cs w:val="0"/>
      <w:em w:val="none"/>
      <w:lang w:bidi="ar-SA" w:eastAsia="uk-UA" w:val="uk-UA"/>
    </w:rPr>
  </w:style>
  <w:style w:type="paragraph" w:styleId="ListParagraph">
    <w:name w:val="List Paragraph"/>
    <w:basedOn w:val="Обычный"/>
    <w:next w:val="ListParagraph"/>
    <w:autoRedefine w:val="0"/>
    <w:hidden w:val="0"/>
    <w:qFormat w:val="0"/>
    <w:pPr>
      <w:suppressAutoHyphens w:val="1"/>
      <w:spacing w:line="1" w:lineRule="atLeast"/>
      <w:ind w:left="720" w:leftChars="-1" w:rightChars="0" w:firstLineChars="-1"/>
      <w:contextualSpacing w:val="1"/>
      <w:textDirection w:val="btLr"/>
      <w:textAlignment w:val="top"/>
      <w:outlineLvl w:val="0"/>
    </w:pPr>
    <w:rPr>
      <w:rFonts w:ascii="Times New Roman" w:hAnsi="Times New Roman"/>
      <w:w w:val="100"/>
      <w:position w:val="-1"/>
      <w:sz w:val="28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Стиль1">
    <w:name w:val="Стиль1"/>
    <w:basedOn w:val="Обычный"/>
    <w:next w:val="Стиль1"/>
    <w:autoRedefine w:val="0"/>
    <w:hidden w:val="0"/>
    <w:qFormat w:val="0"/>
    <w:pPr>
      <w:suppressAutoHyphens w:val="1"/>
      <w:spacing w:line="1" w:lineRule="atLeast"/>
      <w:ind w:leftChars="-1" w:rightChars="0" w:firstLine="709" w:firstLineChars="-1"/>
      <w:jc w:val="both"/>
      <w:textDirection w:val="btLr"/>
      <w:textAlignment w:val="top"/>
      <w:outlineLvl w:val="0"/>
    </w:pPr>
    <w:rPr>
      <w:rFonts w:ascii="Times New Roman" w:hAnsi="Times New Roman"/>
      <w:w w:val="100"/>
      <w:position w:val="-1"/>
      <w:sz w:val="28"/>
      <w:szCs w:val="28"/>
      <w:effect w:val="none"/>
      <w:vertAlign w:val="baseline"/>
      <w:cs w:val="0"/>
      <w:em w:val="none"/>
      <w:lang w:bidi="ar-SA" w:eastAsia="ru-RU" w:val="ru-RU"/>
    </w:rPr>
  </w:style>
  <w:style w:type="paragraph" w:styleId="NormalЗнак">
    <w:name w:val="Normal Знак"/>
    <w:next w:val="NormalЗнак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ntiqua" w:hAnsi="Antiqua"/>
      <w:w w:val="100"/>
      <w:kern w:val="1"/>
      <w:position w:val="-1"/>
      <w:sz w:val="24"/>
      <w:effect w:val="none"/>
      <w:vertAlign w:val="baseline"/>
      <w:cs w:val="0"/>
      <w:em w:val="none"/>
      <w:lang w:bidi="ar-SA" w:eastAsia="ar-SA" w:val="ru-RU"/>
    </w:rPr>
  </w:style>
  <w:style w:type="paragraph" w:styleId="Обычный1">
    <w:name w:val="Обычный1"/>
    <w:next w:val="Обычный1"/>
    <w:autoRedefine w:val="0"/>
    <w:hidden w:val="0"/>
    <w:qFormat w:val="0"/>
    <w:pPr>
      <w:widowControl w:val="0"/>
      <w:suppressAutoHyphens w:val="0"/>
      <w:spacing w:line="480" w:lineRule="auto"/>
      <w:ind w:leftChars="-1" w:rightChars="0" w:firstLine="580" w:firstLineChars="-1"/>
      <w:textDirection w:val="btLr"/>
      <w:textAlignment w:val="top"/>
      <w:outlineLvl w:val="0"/>
    </w:pPr>
    <w:rPr>
      <w:rFonts w:ascii="Courier New" w:hAnsi="Courier New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ar-SA" w:eastAsia="en-US" w:val="uk-UA"/>
    </w:rPr>
  </w:style>
  <w:style w:type="paragraph" w:styleId="Default">
    <w:name w:val="Default"/>
    <w:next w:val="Default"/>
    <w:autoRedefine w:val="0"/>
    <w:hidden w:val="0"/>
    <w:qFormat w:val="0"/>
    <w:pPr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hAnsi="Times New Roman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Обычный2">
    <w:name w:val="Обычный2"/>
    <w:next w:val="Обычный2"/>
    <w:autoRedefine w:val="0"/>
    <w:hidden w:val="0"/>
    <w:qFormat w:val="0"/>
    <w:pPr>
      <w:widowControl w:val="0"/>
      <w:suppressAutoHyphens w:val="0"/>
      <w:spacing w:line="480" w:lineRule="auto"/>
      <w:ind w:leftChars="-1" w:rightChars="0" w:firstLine="580" w:firstLineChars="-1"/>
      <w:textDirection w:val="btLr"/>
      <w:textAlignment w:val="top"/>
      <w:outlineLvl w:val="0"/>
    </w:pPr>
    <w:rPr>
      <w:rFonts w:ascii="Courier New" w:hAnsi="Courier New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ar-SA" w:eastAsia="en-US" w:val="uk-UA"/>
    </w:rPr>
  </w:style>
  <w:style w:type="paragraph" w:styleId="FR3">
    <w:name w:val="FR3"/>
    <w:next w:val="FR3"/>
    <w:autoRedefine w:val="0"/>
    <w:hidden w:val="0"/>
    <w:qFormat w:val="0"/>
    <w:pPr>
      <w:widowControl w:val="0"/>
      <w:suppressAutoHyphens w:val="1"/>
      <w:spacing w:before="20"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Times New Roman" w:hAnsi="Times New Roman"/>
      <w:w w:val="100"/>
      <w:position w:val="-1"/>
      <w:sz w:val="24"/>
      <w:effect w:val="none"/>
      <w:vertAlign w:val="baseline"/>
      <w:cs w:val="0"/>
      <w:em w:val="none"/>
      <w:lang w:bidi="ar-SA" w:eastAsia="ru-RU" w:val="uk-UA"/>
    </w:rPr>
  </w:style>
  <w:style w:type="character" w:styleId="UnresolvedMention">
    <w:name w:val="Unresolved Mention"/>
    <w:next w:val="UnresolvedMention"/>
    <w:autoRedefine w:val="0"/>
    <w:hidden w:val="0"/>
    <w:qFormat w:val="0"/>
    <w:rPr>
      <w:color w:val="605e5c"/>
      <w:w w:val="100"/>
      <w:position w:val="-1"/>
      <w:effect w:val="none"/>
      <w:shd w:color="auto" w:fill="e1dfdd" w:val="clear"/>
      <w:vertAlign w:val="baseline"/>
      <w:cs w:val="0"/>
      <w:em w:val="none"/>
      <w:lang/>
    </w:rPr>
  </w:style>
  <w:style w:type="character" w:styleId="Основнойтекст(7)_">
    <w:name w:val="Основной текст (7)_"/>
    <w:next w:val="Основнойтекст(7)_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bidi="ar-SA"/>
    </w:rPr>
  </w:style>
  <w:style w:type="paragraph" w:styleId="Основнойтекст(7)1">
    <w:name w:val="Основной текст (7)1"/>
    <w:basedOn w:val="Обычный"/>
    <w:next w:val="Основнойтекст(7)1"/>
    <w:autoRedefine w:val="0"/>
    <w:hidden w:val="0"/>
    <w:qFormat w:val="0"/>
    <w:pPr>
      <w:shd w:color="auto" w:fill="ffffff" w:val="clear"/>
      <w:suppressAutoHyphens w:val="1"/>
      <w:spacing w:after="180" w:line="235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und" w:val="und"/>
    </w:rPr>
  </w:style>
  <w:style w:type="character" w:styleId="Заголовок№4_">
    <w:name w:val="Заголовок №4_"/>
    <w:next w:val="Заголовок№4_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bidi="ar-SA"/>
    </w:rPr>
  </w:style>
  <w:style w:type="paragraph" w:styleId="Заголовок№4">
    <w:name w:val="Заголовок №4"/>
    <w:basedOn w:val="Обычный"/>
    <w:next w:val="Заголовок№4"/>
    <w:autoRedefine w:val="0"/>
    <w:hidden w:val="0"/>
    <w:qFormat w:val="0"/>
    <w:pPr>
      <w:shd w:color="auto" w:fill="ffffff" w:val="clear"/>
      <w:suppressAutoHyphens w:val="1"/>
      <w:spacing w:after="60" w:before="180" w:line="240" w:lineRule="atLeast"/>
      <w:ind w:leftChars="-1" w:rightChars="0" w:firstLineChars="-1"/>
      <w:textDirection w:val="btLr"/>
      <w:textAlignment w:val="top"/>
      <w:outlineLvl w:val="3"/>
    </w:pPr>
    <w:rPr>
      <w:rFonts w:ascii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und" w:val="und"/>
    </w:rPr>
  </w:style>
  <w:style w:type="character" w:styleId="tlid-translation">
    <w:name w:val="tlid-translation"/>
    <w:next w:val="tlid-translation"/>
    <w:autoRedefine w:val="0"/>
    <w:hidden w:val="0"/>
    <w:qFormat w:val="0"/>
    <w:rPr>
      <w:rFonts w:ascii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table" w:styleId="_Style22">
    <w:name w:val="_Style 22"/>
    <w:basedOn w:val="TableNormal1"/>
    <w:next w:val="_Style22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en-US" w:val="en-US"/>
    </w:rPr>
    <w:tblPr>
      <w:tblStyle w:val="_Style22"/>
      <w:jc w:val="left"/>
      <w:tblCellMar>
        <w:left w:w="108.0" w:type="dxa"/>
        <w:right w:w="108.0" w:type="dxa"/>
      </w:tblCellMar>
    </w:tblPr>
  </w:style>
  <w:style w:type="table" w:styleId="TableNormal1">
    <w:name w:val="Table Normal1"/>
    <w:next w:val="TableNormal1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en-US" w:val="en-US"/>
    </w:rPr>
    <w:tblPr>
      <w:tblStyle w:val="TableNormal1"/>
      <w:jc w:val="left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3" Type="http://schemas.openxmlformats.org/officeDocument/2006/relationships/hyperlink" Target="http://library.zp.edu.ua/" TargetMode="External"/><Relationship Id="rId12" Type="http://schemas.openxmlformats.org/officeDocument/2006/relationships/hyperlink" Target="https://mon.gov.ua/storage/app/media/vishcha-osvita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5" Type="http://schemas.openxmlformats.org/officeDocument/2006/relationships/hyperlink" Target="http://www.dy.nayka.com.ua/?op=1&amp;z=724" TargetMode="External"/><Relationship Id="rId14" Type="http://schemas.openxmlformats.org/officeDocument/2006/relationships/hyperlink" Target="http://scintific.narod.ru/literature.htm" TargetMode="External"/><Relationship Id="rId17" Type="http://schemas.openxmlformats.org/officeDocument/2006/relationships/header" Target="header1.xml"/><Relationship Id="rId16" Type="http://schemas.openxmlformats.org/officeDocument/2006/relationships/hyperlink" Target="http://www.philsci.univ.kiev.ua/biblio/etik-sidorenko.html" TargetMode="External"/><Relationship Id="rId5" Type="http://schemas.openxmlformats.org/officeDocument/2006/relationships/numbering" Target="numbering.xml"/><Relationship Id="rId19" Type="http://schemas.openxmlformats.org/officeDocument/2006/relationships/footer" Target="footer1.xml"/><Relationship Id="rId6" Type="http://schemas.openxmlformats.org/officeDocument/2006/relationships/styles" Target="styles.xml"/><Relationship Id="rId18" Type="http://schemas.openxmlformats.org/officeDocument/2006/relationships/footer" Target="footer2.xml"/><Relationship Id="rId7" Type="http://schemas.openxmlformats.org/officeDocument/2006/relationships/customXml" Target="../customXML/item1.xml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ERtBOOYrzP67n8SN3gKTV9K7YQ==">CgMxLjA4AHIhMTJwUURLTTQ5d0RmTmFnV3puMmVpWlZnZ251VDQzS0oz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2017-11-07T12:05:00Z</dcterms:created>
  <dc:creator>Admin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3" name="KSOProductBuildVer">
    <vt:lpstr>1033-12.2.0.19821</vt:lpstr>
  </property>
  <property fmtid="{D5CDD505-2E9C-101B-9397-08002B2CF9AE}" pid="4" name="ICV">
    <vt:lpstr>BB34B0F0F3754376BD94984905833DD8_12</vt:lpstr>
  </property>
  <property fmtid="{D5CDD505-2E9C-101B-9397-08002B2CF9AE}" pid="5" name="GrammarlyDocumentId">
    <vt:lpstr>f97678718f296ce354f1ddd5d247d089af6b0bd018ec78a2b6bace0a4e826f92</vt:lpstr>
  </property>
</Properties>
</file>