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8A92F519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Міністерство освіти і науки України</w:t>
      </w:r>
    </w:p>
    <w:p w14:paraId="D0C3DC52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ВІДОКРЕМЛЕНИЙ СТРУКТУРНИЙ ПІДРОЗДІЛ «</w:t>
      </w:r>
      <w:r>
        <w:rPr>
          <w:sz w:val="28"/>
          <w:szCs w:val="28"/>
        </w:rPr>
        <w:t>БЕРДЯНСЬКИЙ МАШИНОБУДІВНИЙ</w:t>
      </w:r>
      <w:r>
        <w:rPr>
          <w:sz w:val="28"/>
          <w:szCs w:val="28"/>
        </w:rPr>
        <w:t xml:space="preserve"> ФАХОВИЙ</w:t>
      </w:r>
      <w:r>
        <w:rPr>
          <w:sz w:val="28"/>
          <w:szCs w:val="28"/>
        </w:rPr>
        <w:t xml:space="preserve"> КОЛЕДЖ</w:t>
      </w:r>
    </w:p>
    <w:p w14:paraId="9E3537AC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Національного </w:t>
      </w:r>
      <w:r>
        <w:rPr>
          <w:sz w:val="28"/>
          <w:szCs w:val="28"/>
        </w:rPr>
        <w:t xml:space="preserve"> університету</w:t>
      </w:r>
      <w:r>
        <w:rPr>
          <w:sz w:val="28"/>
          <w:szCs w:val="28"/>
        </w:rPr>
        <w:t xml:space="preserve"> «Запорізька політехніка»</w:t>
      </w:r>
    </w:p>
    <w:p w14:paraId="B256028A">
      <w:pPr>
        <w:pStyle w:val="style0"/>
        <w:jc w:val="center"/>
        <w:rPr>
          <w:sz w:val="28"/>
          <w:szCs w:val="28"/>
        </w:rPr>
      </w:pPr>
    </w:p>
    <w:p w14:paraId="C4E07BE3"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Циклова комісія </w:t>
      </w:r>
      <w:r>
        <w:rPr>
          <w:sz w:val="28"/>
          <w:szCs w:val="28"/>
        </w:rPr>
        <w:t>сп</w:t>
      </w:r>
      <w:r>
        <w:rPr>
          <w:sz w:val="28"/>
          <w:szCs w:val="28"/>
        </w:rPr>
        <w:t xml:space="preserve">еціальності </w:t>
      </w:r>
      <w:r>
        <w:rPr>
          <w:sz w:val="28"/>
          <w:szCs w:val="28"/>
          <w:lang w:val="en-US"/>
        </w:rPr>
        <w:t xml:space="preserve">G11 </w:t>
      </w:r>
      <w:r>
        <w:rPr>
          <w:sz w:val="28"/>
          <w:szCs w:val="28"/>
        </w:rPr>
        <w:t>Машинобудування</w:t>
      </w:r>
    </w:p>
    <w:p w14:paraId="37B58E9A">
      <w:pPr>
        <w:pStyle w:val="style0"/>
        <w:jc w:val="center"/>
        <w:rPr>
          <w:color w:val="000000"/>
        </w:rPr>
      </w:pPr>
    </w:p>
    <w:p w14:paraId="83BABEFD">
      <w:pPr>
        <w:pStyle w:val="style0"/>
        <w:jc w:val="center"/>
        <w:rPr>
          <w:color w:val="000000"/>
        </w:rPr>
      </w:pPr>
    </w:p>
    <w:p w14:paraId="B765C086">
      <w:pPr>
        <w:pStyle w:val="style0"/>
        <w:jc w:val="center"/>
        <w:rPr>
          <w:color w:val="000000"/>
        </w:rPr>
      </w:pPr>
    </w:p>
    <w:p w14:paraId="9537DC66">
      <w:pPr>
        <w:pStyle w:val="style0"/>
        <w:ind w:left="510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«ЗАТВЕРДЖУЮ»</w:t>
      </w:r>
    </w:p>
    <w:p w14:paraId="3C54B251">
      <w:pPr>
        <w:pStyle w:val="style0"/>
        <w:ind w:left="5103"/>
        <w:jc w:val="center"/>
        <w:rPr>
          <w:color w:val="000000"/>
          <w:sz w:val="28"/>
        </w:rPr>
      </w:pPr>
      <w:r>
        <w:rPr>
          <w:color w:val="000000"/>
          <w:sz w:val="28"/>
        </w:rPr>
        <w:t>Заступник директора з навчально-виховної</w:t>
      </w:r>
      <w:r>
        <w:rPr>
          <w:color w:val="000000"/>
          <w:sz w:val="28"/>
        </w:rPr>
        <w:t xml:space="preserve"> роботи</w:t>
      </w:r>
    </w:p>
    <w:p w14:paraId="CFAD0455">
      <w:pPr>
        <w:pStyle w:val="style0"/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</w:t>
      </w:r>
      <w:r>
        <w:rPr>
          <w:noProof/>
          <w:u w:val="single"/>
          <w:lang w:val="ru-RU" w:eastAsia="ru-RU"/>
        </w:rPr>
        <w:drawing>
          <wp:inline distL="0" distT="0" distB="0" distR="0">
            <wp:extent cx="1123950" cy="504824"/>
            <wp:effectExtent l="0" t="0" r="0" b="9525"/>
            <wp:docPr id="1026" name="Рисунок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23950" cy="504824"/>
                    </a:xfrm>
                    <a:prstGeom prst="rect"/>
                    <a:solidFill>
                      <a:srgbClr val="1f497d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</w:rPr>
        <w:t>Ірина ПАРАСОЧЕНКО</w:t>
      </w:r>
    </w:p>
    <w:p w14:paraId="D2E1D72A">
      <w:pPr>
        <w:pStyle w:val="style0"/>
        <w:ind w:left="5103"/>
        <w:jc w:val="center"/>
        <w:rPr>
          <w:sz w:val="28"/>
        </w:rPr>
      </w:pPr>
      <w:r>
        <w:rPr>
          <w:sz w:val="28"/>
        </w:rPr>
        <w:t>«01» жовтня</w:t>
      </w:r>
      <w:r>
        <w:rPr>
          <w:sz w:val="28"/>
        </w:rPr>
        <w:t xml:space="preserve"> 20</w:t>
      </w:r>
      <w:r>
        <w:rPr>
          <w:sz w:val="28"/>
          <w:lang w:val="ru-RU"/>
        </w:rPr>
        <w:t>26</w:t>
      </w:r>
      <w:r>
        <w:rPr>
          <w:sz w:val="28"/>
          <w:lang w:val="ru-RU"/>
        </w:rPr>
        <w:t xml:space="preserve"> </w:t>
      </w:r>
      <w:r>
        <w:rPr>
          <w:sz w:val="28"/>
        </w:rPr>
        <w:t>року</w:t>
      </w:r>
    </w:p>
    <w:p w14:paraId="FFEDE9E4">
      <w:pPr>
        <w:pStyle w:val="style0"/>
        <w:ind w:left="5103"/>
        <w:jc w:val="center"/>
        <w:rPr>
          <w:sz w:val="28"/>
        </w:rPr>
      </w:pPr>
    </w:p>
    <w:p w14:paraId="B185FF4D">
      <w:pPr>
        <w:pStyle w:val="style0"/>
        <w:ind w:left="5103"/>
        <w:jc w:val="center"/>
        <w:rPr>
          <w:sz w:val="28"/>
        </w:rPr>
      </w:pPr>
    </w:p>
    <w:p w14:paraId="1A829E3D">
      <w:pPr>
        <w:pStyle w:val="style0"/>
        <w:ind w:left="5103"/>
        <w:jc w:val="center"/>
        <w:rPr>
          <w:sz w:val="28"/>
        </w:rPr>
      </w:pPr>
    </w:p>
    <w:p w14:paraId="5253E227">
      <w:pPr>
        <w:pStyle w:val="style0"/>
        <w:ind w:left="5103"/>
        <w:jc w:val="center"/>
        <w:rPr>
          <w:sz w:val="28"/>
        </w:rPr>
      </w:pPr>
    </w:p>
    <w:p w14:paraId="52234B7C">
      <w:pPr>
        <w:pStyle w:val="style3"/>
        <w:jc w:val="center"/>
        <w:rPr>
          <w:color w:val="000000"/>
          <w:sz w:val="28"/>
        </w:rPr>
      </w:pPr>
      <w:r>
        <w:rPr>
          <w:color w:val="000000"/>
          <w:sz w:val="28"/>
        </w:rPr>
        <w:t>РОБОЧА ПРОГРАМА НАВЧАЛЬНОЇ ДИСЦИПЛІНИ</w:t>
      </w:r>
    </w:p>
    <w:p w14:paraId="DD34BFBF">
      <w:pPr>
        <w:pStyle w:val="style3"/>
        <w:jc w:val="center"/>
        <w:rPr>
          <w:color w:val="000000"/>
          <w:sz w:val="32"/>
        </w:rPr>
      </w:pPr>
    </w:p>
    <w:p w14:paraId="CD4F0FC5">
      <w:pPr>
        <w:pStyle w:val="style0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32"/>
          <w:szCs w:val="32"/>
          <w:lang w:eastAsia="ru-RU"/>
        </w:rPr>
        <w:t>ОСНОВИ НАЦІОНАЛЬНОГО СПРОТИВУ</w:t>
      </w:r>
    </w:p>
    <w:p w14:paraId="7DC16C12">
      <w:pPr>
        <w:pStyle w:val="style0"/>
        <w:jc w:val="center"/>
        <w:rPr>
          <w:b/>
          <w:bCs/>
          <w:sz w:val="32"/>
          <w:szCs w:val="32"/>
          <w:lang w:eastAsia="ru-RU"/>
        </w:rPr>
      </w:pPr>
    </w:p>
    <w:p w14:paraId="E30528F1">
      <w:pPr>
        <w:pStyle w:val="style0"/>
        <w:jc w:val="center"/>
        <w:rPr/>
      </w:pPr>
    </w:p>
    <w:tbl>
      <w:tblPr>
        <w:tblStyle w:val="style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0"/>
        <w:gridCol w:w="7146"/>
      </w:tblGrid>
      <w:tr w14:paraId="232EA1E8">
        <w:trPr/>
        <w:tc>
          <w:tcPr>
            <w:tcW w:w="2235" w:type="dxa"/>
            <w:tcBorders/>
          </w:tcPr>
          <w:p w14:paraId="4A42F2E0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7336" w:type="dxa"/>
            <w:tcBorders/>
          </w:tcPr>
          <w:p w14:paraId="D69298F4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  <w:lang w:val="en-US"/>
              </w:rPr>
              <w:t xml:space="preserve">G 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І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нженерія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, виробництво та будівництво</w:t>
            </w:r>
            <w:r>
              <w:rPr>
                <w:b w:val="false"/>
                <w:bCs w:val="false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14:paraId="0E6B86EA">
        <w:tblPrEx/>
        <w:trPr/>
        <w:tc>
          <w:tcPr>
            <w:tcW w:w="2235" w:type="dxa"/>
            <w:tcBorders/>
          </w:tcPr>
          <w:p w14:paraId="D14FED8D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Спеціальність</w:t>
            </w:r>
          </w:p>
          <w:p w14:paraId="3335908F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Спеціалізація </w:t>
            </w:r>
          </w:p>
        </w:tc>
        <w:tc>
          <w:tcPr>
            <w:tcW w:w="7336" w:type="dxa"/>
            <w:tcBorders/>
          </w:tcPr>
          <w:p w14:paraId="C7EFCC1A">
            <w:pPr>
              <w:pStyle w:val="style3"/>
              <w:spacing w:before="0" w:beforeAutospacing="false" w:after="0" w:afterAutospacing="false" w:lineRule="auto" w:line="360"/>
              <w:ind w:left="3402" w:hanging="3402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  <w:lang w:val="en-US"/>
              </w:rPr>
              <w:t xml:space="preserve">G 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М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>ашинобудування</w:t>
            </w:r>
          </w:p>
          <w:p w14:paraId="D53D51B7">
            <w:pPr>
              <w:pStyle w:val="style3"/>
              <w:spacing w:before="0" w:beforeAutospacing="false" w:after="0" w:afterAutospacing="false" w:lineRule="auto" w:line="360"/>
              <w:ind w:left="3402" w:hanging="3402"/>
              <w:outlineLvl w:val="2"/>
              <w:rPr>
                <w:b w:val="false"/>
                <w:bCs w:val="false"/>
                <w:color w:val="000000"/>
                <w:sz w:val="28"/>
                <w:szCs w:val="28"/>
                <w:lang w:val="en-US"/>
              </w:rPr>
            </w:pPr>
          </w:p>
          <w:p w14:paraId="A5C02DFE">
            <w:pPr>
              <w:pStyle w:val="style3"/>
              <w:spacing w:before="0" w:beforeAutospacing="false" w:after="0" w:afterAutospacing="false" w:lineRule="auto" w:line="360"/>
              <w:ind w:left="3402" w:hanging="3402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  <w:lang w:val="en-US"/>
              </w:rPr>
              <w:t>G</w:t>
            </w:r>
            <w:r>
              <w:rPr>
                <w:b w:val="false"/>
                <w:bCs w:val="false"/>
                <w:color w:val="000000"/>
                <w:sz w:val="28"/>
                <w:szCs w:val="28"/>
              </w:rPr>
              <w:t xml:space="preserve"> 11.01 Верстати та інструменти</w:t>
            </w:r>
          </w:p>
        </w:tc>
      </w:tr>
      <w:tr w14:paraId="2DC2917B">
        <w:tblPrEx/>
        <w:trPr/>
        <w:tc>
          <w:tcPr>
            <w:tcW w:w="2235" w:type="dxa"/>
            <w:tcBorders/>
          </w:tcPr>
          <w:p w14:paraId="6A3EBF5D">
            <w:pPr>
              <w:pStyle w:val="style3"/>
              <w:spacing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ОПП</w:t>
            </w:r>
          </w:p>
        </w:tc>
        <w:tc>
          <w:tcPr>
            <w:tcW w:w="7336" w:type="dxa"/>
            <w:tcBorders/>
          </w:tcPr>
          <w:p w14:paraId="E4E1A164">
            <w:pPr>
              <w:pStyle w:val="style3"/>
              <w:spacing w:before="0" w:beforeAutospacing="false" w:after="0" w:afterAutospacing="false" w:lineRule="auto" w:line="360"/>
              <w:outlineLvl w:val="2"/>
              <w:rPr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b w:val="false"/>
                <w:bCs w:val="false"/>
                <w:color w:val="000000"/>
                <w:sz w:val="28"/>
                <w:szCs w:val="28"/>
              </w:rPr>
              <w:t>Технологія обробки матеріалів на верстатах та автоматичних лініях</w:t>
            </w:r>
          </w:p>
        </w:tc>
      </w:tr>
    </w:tbl>
    <w:p w14:paraId="C7C9D87F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E6965E2A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7B026320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197026D4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7E60AFB1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200D3DB0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D3DCD16B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CBDEB1CE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</w:pPr>
    </w:p>
    <w:p w14:paraId="0D4B73CA">
      <w:pPr>
        <w:pStyle w:val="style3"/>
        <w:spacing w:before="0" w:beforeAutospacing="false" w:after="0" w:afterAutospacing="false" w:lineRule="auto" w:line="276"/>
        <w:jc w:val="center"/>
        <w:rPr>
          <w:b w:val="false"/>
          <w:color w:val="000000"/>
          <w:sz w:val="28"/>
        </w:rPr>
      </w:pPr>
      <w:r>
        <w:rPr>
          <w:b w:val="false"/>
          <w:color w:val="000000"/>
          <w:sz w:val="28"/>
        </w:rPr>
        <w:t>20</w:t>
      </w:r>
      <w:r>
        <w:rPr>
          <w:b w:val="false"/>
          <w:color w:val="000000"/>
          <w:sz w:val="28"/>
        </w:rPr>
        <w:t>26</w:t>
      </w:r>
      <w:r>
        <w:rPr>
          <w:b w:val="false"/>
          <w:color w:val="000000"/>
          <w:sz w:val="28"/>
        </w:rPr>
        <w:t xml:space="preserve"> </w:t>
      </w:r>
      <w:r>
        <w:rPr>
          <w:b w:val="false"/>
          <w:color w:val="000000"/>
          <w:sz w:val="28"/>
        </w:rPr>
        <w:t>р</w:t>
      </w:r>
      <w:r>
        <w:rPr>
          <w:b w:val="false"/>
          <w:color w:val="000000"/>
          <w:sz w:val="28"/>
        </w:rPr>
        <w:t>.</w:t>
      </w:r>
    </w:p>
    <w:p w14:paraId="6087E046">
      <w:pPr>
        <w:pStyle w:val="style3"/>
        <w:spacing w:before="0" w:beforeAutospacing="false" w:after="0" w:afterAutospacing="false" w:lineRule="auto" w:line="276"/>
        <w:jc w:val="both"/>
        <w:rPr>
          <w:b w:val="false"/>
          <w:color w:val="000000"/>
          <w:sz w:val="28"/>
        </w:rPr>
        <w:sectPr>
          <w:pgSz w:w="11906" w:h="16838" w:orient="portrait"/>
          <w:pgMar w:top="709" w:right="850" w:bottom="851" w:left="1701" w:header="708" w:footer="708" w:gutter="0"/>
          <w:cols w:space="708"/>
          <w:docGrid w:linePitch="360"/>
        </w:sectPr>
      </w:pPr>
    </w:p>
    <w:p w14:paraId="F3409BDD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4"/>
        </w:rPr>
        <w:t xml:space="preserve">Робоча </w:t>
      </w:r>
      <w:r>
        <w:rPr>
          <w:b w:val="false"/>
          <w:color w:val="000000"/>
          <w:sz w:val="24"/>
        </w:rPr>
        <w:t xml:space="preserve">програма навчальної дисципліни «Основи національного спротиву» </w:t>
      </w:r>
      <w:r>
        <w:rPr>
          <w:b w:val="false"/>
          <w:color w:val="000000"/>
          <w:sz w:val="24"/>
        </w:rPr>
        <w:t xml:space="preserve"> для </w:t>
      </w:r>
      <w:r>
        <w:rPr>
          <w:b w:val="false"/>
          <w:color w:val="000000"/>
          <w:sz w:val="24"/>
        </w:rPr>
        <w:t>здобувачів освіти</w:t>
      </w:r>
      <w:r>
        <w:rPr>
          <w:b w:val="false"/>
          <w:color w:val="000000"/>
          <w:sz w:val="24"/>
        </w:rPr>
        <w:t xml:space="preserve"> спеціальності </w:t>
      </w:r>
      <w:r>
        <w:rPr>
          <w:b w:val="false"/>
          <w:bCs w:val="false"/>
          <w:color w:val="000000"/>
          <w:sz w:val="28"/>
          <w:szCs w:val="28"/>
          <w:lang w:val="en-US"/>
        </w:rPr>
        <w:t>G</w:t>
      </w:r>
      <w:r>
        <w:rPr>
          <w:b w:val="false"/>
          <w:bCs w:val="false"/>
          <w:color w:val="000000"/>
          <w:sz w:val="28"/>
          <w:szCs w:val="28"/>
        </w:rPr>
        <w:t>11</w:t>
      </w:r>
      <w:r>
        <w:rPr>
          <w:b w:val="false"/>
          <w:color w:val="000000"/>
          <w:sz w:val="24"/>
          <w:szCs w:val="24"/>
        </w:rPr>
        <w:t xml:space="preserve"> М</w:t>
      </w:r>
      <w:r>
        <w:rPr>
          <w:b w:val="false"/>
          <w:color w:val="000000"/>
          <w:sz w:val="24"/>
          <w:szCs w:val="24"/>
        </w:rPr>
        <w:t>ашинобудування</w:t>
      </w:r>
      <w:r>
        <w:rPr>
          <w:b w:val="false"/>
          <w:color w:val="000000"/>
          <w:sz w:val="24"/>
          <w:szCs w:val="24"/>
        </w:rPr>
        <w:t>,</w:t>
      </w:r>
      <w:r>
        <w:rPr>
          <w:b w:val="false"/>
          <w:color w:val="000000"/>
          <w:sz w:val="24"/>
          <w:szCs w:val="24"/>
        </w:rPr>
        <w:t xml:space="preserve"> спеціалізація </w:t>
      </w:r>
      <w:r>
        <w:rPr>
          <w:b w:val="false"/>
          <w:bCs w:val="false"/>
          <w:color w:val="000000"/>
          <w:sz w:val="28"/>
          <w:szCs w:val="28"/>
          <w:lang w:val="en-US"/>
        </w:rPr>
        <w:t>G</w:t>
      </w:r>
      <w:r>
        <w:rPr>
          <w:b w:val="false"/>
          <w:bCs w:val="false"/>
          <w:color w:val="000000"/>
          <w:sz w:val="28"/>
          <w:szCs w:val="28"/>
        </w:rPr>
        <w:t>11.01.</w:t>
      </w:r>
      <w:r>
        <w:rPr>
          <w:b w:val="false"/>
          <w:color w:val="000000"/>
          <w:sz w:val="24"/>
          <w:szCs w:val="24"/>
        </w:rPr>
        <w:t xml:space="preserve"> ОПП «</w:t>
      </w:r>
      <w:r>
        <w:rPr>
          <w:b w:val="false"/>
          <w:bCs w:val="false"/>
          <w:color w:val="000000"/>
          <w:sz w:val="24"/>
          <w:szCs w:val="24"/>
        </w:rPr>
        <w:t>Технологія обробки матеріалів на верстатах і автоматичних лініях</w:t>
      </w:r>
      <w:r>
        <w:rPr>
          <w:b w:val="false"/>
          <w:bCs w:val="false"/>
          <w:color w:val="000000"/>
          <w:sz w:val="24"/>
          <w:szCs w:val="24"/>
        </w:rPr>
        <w:t>»</w:t>
      </w:r>
      <w:r>
        <w:rPr>
          <w:b w:val="false"/>
          <w:color w:val="000000"/>
          <w:sz w:val="24"/>
          <w:szCs w:val="24"/>
        </w:rPr>
        <w:t>.</w:t>
      </w:r>
    </w:p>
    <w:p w14:paraId="994C6BD6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  <w:szCs w:val="24"/>
        </w:rPr>
      </w:pPr>
      <w:r>
        <w:rPr>
          <w:b w:val="false"/>
          <w:color w:val="000000"/>
          <w:sz w:val="24"/>
          <w:szCs w:val="24"/>
        </w:rPr>
        <w:t>«</w:t>
      </w:r>
      <w:r>
        <w:rPr>
          <w:b w:val="false"/>
          <w:color w:val="000000"/>
          <w:sz w:val="24"/>
          <w:szCs w:val="24"/>
        </w:rPr>
        <w:t>30</w:t>
      </w:r>
      <w:r>
        <w:rPr>
          <w:b w:val="false"/>
          <w:color w:val="000000"/>
          <w:sz w:val="24"/>
          <w:szCs w:val="24"/>
        </w:rPr>
        <w:t xml:space="preserve">» </w:t>
      </w:r>
      <w:r>
        <w:rPr>
          <w:b w:val="false"/>
          <w:color w:val="000000"/>
          <w:sz w:val="24"/>
          <w:szCs w:val="24"/>
        </w:rPr>
        <w:t>верес</w:t>
      </w:r>
      <w:r>
        <w:rPr>
          <w:b w:val="false"/>
          <w:color w:val="000000"/>
          <w:sz w:val="24"/>
          <w:szCs w:val="24"/>
        </w:rPr>
        <w:t>ня</w:t>
      </w:r>
      <w:r>
        <w:rPr>
          <w:b w:val="false"/>
          <w:color w:val="000000"/>
          <w:sz w:val="24"/>
          <w:szCs w:val="24"/>
        </w:rPr>
        <w:t xml:space="preserve"> 20</w:t>
      </w:r>
      <w:r>
        <w:rPr>
          <w:b w:val="false"/>
          <w:color w:val="000000"/>
          <w:sz w:val="24"/>
          <w:szCs w:val="24"/>
        </w:rPr>
        <w:t>26</w:t>
      </w:r>
      <w:r>
        <w:rPr>
          <w:b w:val="false"/>
          <w:color w:val="000000"/>
          <w:sz w:val="24"/>
          <w:szCs w:val="24"/>
        </w:rPr>
        <w:t xml:space="preserve"> року – </w:t>
      </w:r>
      <w:r>
        <w:rPr>
          <w:b w:val="false"/>
          <w:color w:val="000000"/>
          <w:sz w:val="24"/>
          <w:szCs w:val="24"/>
        </w:rPr>
        <w:t>15</w:t>
      </w:r>
      <w:r>
        <w:rPr>
          <w:b w:val="false"/>
          <w:color w:val="000000"/>
          <w:sz w:val="24"/>
          <w:szCs w:val="24"/>
        </w:rPr>
        <w:t xml:space="preserve"> </w:t>
      </w:r>
      <w:r>
        <w:rPr>
          <w:b w:val="false"/>
          <w:color w:val="000000"/>
          <w:sz w:val="24"/>
          <w:szCs w:val="24"/>
        </w:rPr>
        <w:t>с.</w:t>
      </w:r>
    </w:p>
    <w:p w14:paraId="F96B5620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463B76AA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70FEB2BB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EDEB77CC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>Розробник: викладач</w:t>
      </w:r>
      <w:r>
        <w:rPr>
          <w:b w:val="false"/>
          <w:color w:val="000000"/>
          <w:sz w:val="24"/>
        </w:rPr>
        <w:t>і</w:t>
      </w:r>
      <w:r>
        <w:rPr>
          <w:b w:val="false"/>
          <w:color w:val="000000"/>
          <w:sz w:val="24"/>
        </w:rPr>
        <w:t xml:space="preserve"> </w:t>
      </w:r>
      <w:r>
        <w:rPr>
          <w:b w:val="false"/>
          <w:color w:val="000000"/>
          <w:sz w:val="24"/>
        </w:rPr>
        <w:t>ВСП «БМФК НУ «Запорізька політехніка»</w:t>
      </w:r>
      <w:r>
        <w:rPr>
          <w:b w:val="false"/>
          <w:color w:val="000000"/>
          <w:sz w:val="24"/>
        </w:rPr>
        <w:t xml:space="preserve"> </w:t>
      </w:r>
      <w:r>
        <w:rPr>
          <w:b w:val="false"/>
          <w:color w:val="000000"/>
          <w:sz w:val="24"/>
        </w:rPr>
        <w:t xml:space="preserve">Ольга </w:t>
      </w:r>
      <w:r>
        <w:rPr>
          <w:b w:val="false"/>
          <w:color w:val="000000"/>
          <w:sz w:val="24"/>
        </w:rPr>
        <w:t>КУЛЬБАШЕНКО</w:t>
      </w:r>
      <w:r>
        <w:rPr>
          <w:b w:val="false"/>
          <w:color w:val="000000"/>
          <w:sz w:val="24"/>
        </w:rPr>
        <w:t>, Андрій РАДЧЕНКО</w:t>
      </w:r>
    </w:p>
    <w:p w14:paraId="41ED030D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31278AD9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color w:val="000000"/>
          <w:sz w:val="24"/>
        </w:rPr>
        <w:t xml:space="preserve">Робоча програма затверджена на засіданні циклової комісії </w:t>
      </w:r>
      <w:r>
        <w:rPr>
          <w:b w:val="false"/>
          <w:bCs w:val="false"/>
          <w:sz w:val="24"/>
          <w:szCs w:val="24"/>
        </w:rPr>
        <w:t>.</w:t>
      </w:r>
    </w:p>
    <w:p w14:paraId="7685A0C6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  <w:r>
        <w:rPr/>
        <w:drawing>
          <wp:anchor distT="0" distB="0" distL="0" distR="0" simplePos="false" relativeHeight="2" behindDoc="true" locked="false" layoutInCell="true" allowOverlap="true">
            <wp:simplePos x="0" y="0"/>
            <wp:positionH relativeFrom="page">
              <wp:posOffset>1138759</wp:posOffset>
            </wp:positionH>
            <wp:positionV relativeFrom="page">
              <wp:posOffset>3612362</wp:posOffset>
            </wp:positionV>
            <wp:extent cx="1966339" cy="833727"/>
            <wp:effectExtent l="0" t="0" r="0" b="0"/>
            <wp:wrapNone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66339" cy="83372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false"/>
          <w:color w:val="000000"/>
          <w:sz w:val="24"/>
        </w:rPr>
        <w:t xml:space="preserve">Протокол № </w:t>
      </w:r>
      <w:r>
        <w:rPr>
          <w:b w:val="false"/>
          <w:color w:val="000000"/>
          <w:sz w:val="24"/>
        </w:rPr>
        <w:t>1</w:t>
      </w:r>
      <w:r>
        <w:rPr>
          <w:b w:val="false"/>
          <w:color w:val="000000"/>
          <w:sz w:val="24"/>
        </w:rPr>
        <w:t xml:space="preserve"> від </w:t>
      </w:r>
      <w:r>
        <w:rPr>
          <w:b w:val="false"/>
          <w:color w:val="000000"/>
          <w:sz w:val="24"/>
        </w:rPr>
        <w:t>30</w:t>
      </w:r>
      <w:r>
        <w:rPr>
          <w:b w:val="false"/>
          <w:color w:val="000000"/>
          <w:sz w:val="24"/>
        </w:rPr>
        <w:t xml:space="preserve"> верес</w:t>
      </w:r>
      <w:r>
        <w:rPr>
          <w:b w:val="false"/>
          <w:color w:val="000000"/>
          <w:sz w:val="24"/>
        </w:rPr>
        <w:t>ня</w:t>
      </w:r>
      <w:r>
        <w:rPr>
          <w:b w:val="false"/>
          <w:color w:val="000000"/>
          <w:sz w:val="24"/>
        </w:rPr>
        <w:t xml:space="preserve"> 20</w:t>
      </w:r>
      <w:r>
        <w:rPr>
          <w:b w:val="false"/>
          <w:color w:val="000000"/>
          <w:sz w:val="24"/>
        </w:rPr>
        <w:t>26</w:t>
      </w:r>
      <w:r>
        <w:rPr>
          <w:b w:val="false"/>
          <w:color w:val="000000"/>
          <w:sz w:val="24"/>
        </w:rPr>
        <w:t xml:space="preserve"> року</w:t>
      </w:r>
    </w:p>
    <w:p w14:paraId="3516EF66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Голова циклової комісії </w:t>
      </w:r>
      <w:r>
        <w:rPr>
          <w:b w:val="false"/>
          <w:bCs w:val="false"/>
          <w:sz w:val="24"/>
          <w:szCs w:val="24"/>
        </w:rPr>
        <w:t>спеціальності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val="en-US"/>
        </w:rPr>
        <w:t>G</w:t>
      </w:r>
      <w:r>
        <w:rPr>
          <w:b w:val="false"/>
          <w:bCs w:val="false"/>
          <w:color w:val="000000"/>
          <w:sz w:val="28"/>
          <w:szCs w:val="28"/>
        </w:rPr>
        <w:t>11</w:t>
      </w:r>
      <w:r>
        <w:rPr>
          <w:b w:val="false"/>
          <w:color w:val="000000"/>
          <w:sz w:val="24"/>
          <w:szCs w:val="24"/>
        </w:rPr>
        <w:t xml:space="preserve"> Машинобудування</w:t>
      </w:r>
      <w:r>
        <w:rPr>
          <w:b w:val="false"/>
          <w:color w:val="000000"/>
          <w:sz w:val="24"/>
          <w:szCs w:val="24"/>
        </w:rPr>
        <w:t>,</w:t>
      </w:r>
    </w:p>
    <w:p w14:paraId="743795A3">
      <w:pPr>
        <w:pStyle w:val="style3"/>
        <w:spacing w:before="0" w:beforeAutospacing="false" w:after="0" w:afterAutospacing="false"/>
        <w:ind w:firstLine="709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 </w:t>
      </w:r>
      <w:r>
        <w:rPr>
          <w:b w:val="false"/>
          <w:color w:val="000000"/>
          <w:sz w:val="24"/>
        </w:rPr>
        <w:t>______________Тетяна ШИЯН</w:t>
      </w:r>
    </w:p>
    <w:p w14:paraId="F284424A">
      <w:pPr>
        <w:pStyle w:val="style3"/>
        <w:spacing w:before="0" w:beforeAutospacing="false" w:after="0" w:afterAutospacing="false" w:lineRule="auto" w:line="360"/>
        <w:ind w:firstLine="1843"/>
        <w:jc w:val="both"/>
        <w:rPr>
          <w:b w:val="false"/>
          <w:color w:val="000000"/>
          <w:sz w:val="24"/>
        </w:rPr>
      </w:pPr>
      <w:r>
        <w:rPr>
          <w:b w:val="false"/>
          <w:color w:val="000000"/>
          <w:sz w:val="20"/>
          <w:szCs w:val="20"/>
        </w:rPr>
        <w:t>(підпис)</w:t>
      </w:r>
    </w:p>
    <w:p w14:paraId="37CDDA10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E7F55CFD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DC698D5C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21B3DAF8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53EEDECD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91936F79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99F40D6E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C862D1D2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3703C44B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AD963F99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692B5C0D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9F1FC010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589501A3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F4FA347D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9182441E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54089AA7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4EFAF69A">
      <w:pPr>
        <w:pStyle w:val="style3"/>
        <w:spacing w:before="0" w:beforeAutospacing="false" w:after="0" w:afterAutospacing="false" w:lineRule="auto" w:line="360"/>
        <w:ind w:firstLine="709"/>
        <w:jc w:val="both"/>
        <w:rPr>
          <w:b w:val="false"/>
          <w:color w:val="000000"/>
          <w:sz w:val="24"/>
        </w:rPr>
      </w:pPr>
    </w:p>
    <w:p w14:paraId="97E905E3">
      <w:pPr>
        <w:pStyle w:val="style3"/>
        <w:spacing w:before="0" w:beforeAutospacing="false" w:after="0" w:afterAutospacing="false" w:lineRule="auto" w:line="360"/>
        <w:jc w:val="both"/>
        <w:rPr>
          <w:b w:val="false"/>
          <w:color w:val="000000"/>
          <w:sz w:val="24"/>
        </w:rPr>
      </w:pPr>
    </w:p>
    <w:p w14:paraId="F9DF9F42">
      <w:pPr>
        <w:pStyle w:val="style3"/>
        <w:spacing w:before="0" w:beforeAutospacing="false" w:after="0" w:afterAutospacing="false" w:lineRule="auto" w:line="360"/>
        <w:ind w:firstLine="709"/>
        <w:jc w:val="center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© </w:t>
      </w:r>
      <w:r>
        <w:rPr>
          <w:b w:val="false"/>
          <w:color w:val="000000"/>
          <w:sz w:val="24"/>
        </w:rPr>
        <w:t>Відокремлений структурний підрозділ «Бердянський машинобудівний фаховий коледж Національного університету «Запорізька політехніка»</w:t>
      </w:r>
      <w:r>
        <w:rPr>
          <w:b w:val="false"/>
          <w:color w:val="000000"/>
          <w:sz w:val="24"/>
        </w:rPr>
        <w:t>, 20</w:t>
      </w:r>
      <w:r>
        <w:rPr>
          <w:b w:val="false"/>
          <w:color w:val="000000"/>
          <w:sz w:val="24"/>
        </w:rPr>
        <w:t>26</w:t>
      </w:r>
      <w:r>
        <w:rPr>
          <w:b w:val="false"/>
          <w:color w:val="000000"/>
          <w:sz w:val="24"/>
        </w:rPr>
        <w:t xml:space="preserve"> рік</w:t>
      </w:r>
    </w:p>
    <w:p w14:paraId="0A6875BD">
      <w:pPr>
        <w:pStyle w:val="style0"/>
        <w:spacing w:after="200" w:lineRule="auto" w:line="276"/>
        <w:rPr>
          <w:b/>
          <w:bCs/>
          <w:color w:val="000000"/>
        </w:rPr>
        <w:sectPr>
          <w:pgSz w:w="11906" w:h="16838" w:orient="portrait"/>
          <w:pgMar w:top="709" w:right="850" w:bottom="851" w:left="1701" w:header="708" w:footer="708" w:gutter="0"/>
          <w:cols w:space="708"/>
          <w:docGrid w:linePitch="360"/>
        </w:sectPr>
      </w:pPr>
    </w:p>
    <w:p w14:paraId="32E7B08C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 Опис навчальної дисципліни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792"/>
        <w:gridCol w:w="5622"/>
        <w:gridCol w:w="1939"/>
      </w:tblGrid>
      <w:tr w14:paraId="AA3687D2">
        <w:trPr>
          <w:trHeight w:val="476" w:hRule="atLeast"/>
        </w:trPr>
        <w:tc>
          <w:tcPr>
            <w:tcW w:w="1721" w:type="dxa"/>
            <w:vMerge w:val="restart"/>
            <w:tcBorders/>
          </w:tcPr>
          <w:p w14:paraId="23EF47A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Найменування показників</w:t>
            </w:r>
          </w:p>
        </w:tc>
        <w:tc>
          <w:tcPr>
            <w:tcW w:w="4795" w:type="dxa"/>
            <w:vMerge w:val="restart"/>
            <w:tcBorders/>
          </w:tcPr>
          <w:p w14:paraId="AAE8E62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Галузь знань, </w:t>
            </w:r>
            <w:r>
              <w:rPr>
                <w:color w:val="000000"/>
              </w:rPr>
              <w:t>спеціальність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ОПП, </w:t>
            </w:r>
            <w:r>
              <w:rPr>
                <w:color w:val="000000"/>
              </w:rPr>
              <w:t>освітньо-кваліфікаційний рівень</w:t>
            </w:r>
            <w:r>
              <w:rPr>
                <w:color w:val="000000"/>
              </w:rPr>
              <w:t xml:space="preserve"> (ступ</w:t>
            </w:r>
            <w:r>
              <w:rPr>
                <w:color w:val="000000"/>
              </w:rPr>
              <w:t>і</w:t>
            </w:r>
            <w:r>
              <w:rPr>
                <w:color w:val="000000"/>
              </w:rPr>
              <w:t>нь)</w:t>
            </w:r>
          </w:p>
        </w:tc>
        <w:tc>
          <w:tcPr>
            <w:tcW w:w="2829" w:type="dxa"/>
            <w:tcBorders/>
          </w:tcPr>
          <w:p w14:paraId="F0F88AB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Характеристика навчальної дисципліни</w:t>
            </w:r>
          </w:p>
        </w:tc>
      </w:tr>
      <w:tr w14:paraId="D7B43AA5">
        <w:tblPrEx/>
        <w:trPr>
          <w:trHeight w:val="476" w:hRule="atLeast"/>
        </w:trPr>
        <w:tc>
          <w:tcPr>
            <w:tcW w:w="1721" w:type="dxa"/>
            <w:vMerge w:val="continue"/>
            <w:tcBorders/>
          </w:tcPr>
          <w:p w14:paraId="A3301B42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F71A998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D9B2D959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денна форма навчання</w:t>
            </w:r>
          </w:p>
        </w:tc>
      </w:tr>
      <w:tr w14:paraId="D447B6BF">
        <w:tblPrEx/>
        <w:trPr>
          <w:trHeight w:val="1399" w:hRule="atLeast"/>
        </w:trPr>
        <w:tc>
          <w:tcPr>
            <w:tcW w:w="1721" w:type="dxa"/>
            <w:vMerge w:val="restart"/>
            <w:tcBorders/>
          </w:tcPr>
          <w:p w14:paraId="4C6545B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Кількість кредитів </w:t>
            </w:r>
            <w:r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</w:p>
        </w:tc>
        <w:tc>
          <w:tcPr>
            <w:tcW w:w="4795" w:type="dxa"/>
            <w:tcBorders/>
          </w:tcPr>
          <w:p w14:paraId="6989BF7B">
            <w:pPr>
              <w:pStyle w:val="style94"/>
              <w:spacing w:before="0" w:beforeAutospacing="false" w:after="0" w:afterAutospacing="false" w:lineRule="auto" w:line="360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Галузь знань: </w:t>
            </w:r>
            <w:r>
              <w:rPr>
                <w:color w:val="000000"/>
                <w:lang w:val="en-US"/>
              </w:rPr>
              <w:t>G</w:t>
            </w:r>
            <w:r>
              <w:rPr>
                <w:color w:val="000000"/>
              </w:rPr>
              <w:t xml:space="preserve"> Інженерія, виробництво та будівництво</w:t>
            </w:r>
            <w:r>
              <w:rPr>
                <w:color w:val="000000"/>
                <w:lang w:val="en-US"/>
              </w:rPr>
              <w:t xml:space="preserve"> </w:t>
            </w:r>
          </w:p>
          <w:p w14:paraId="BC8BB810">
            <w:pPr>
              <w:pStyle w:val="style94"/>
              <w:spacing w:before="0" w:beforeAutospacing="false" w:after="0" w:afterAutospacing="false" w:lineRule="auto" w:line="360"/>
              <w:rPr>
                <w:color w:val="000000"/>
              </w:rPr>
            </w:pPr>
          </w:p>
          <w:p w14:paraId="5945105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vMerge w:val="restart"/>
            <w:tcBorders/>
            <w:vAlign w:val="center"/>
          </w:tcPr>
          <w:p w14:paraId="2F9ACBFC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Обов’язкова</w:t>
            </w:r>
          </w:p>
        </w:tc>
      </w:tr>
      <w:tr w14:paraId="F89445F0">
        <w:tblPrEx/>
        <w:trPr/>
        <w:tc>
          <w:tcPr>
            <w:tcW w:w="1721" w:type="dxa"/>
            <w:vMerge w:val="continue"/>
            <w:tcBorders/>
          </w:tcPr>
          <w:p w14:paraId="EE430562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tcBorders/>
          </w:tcPr>
          <w:p w14:paraId="BAA89B12">
            <w:pPr>
              <w:pStyle w:val="style3"/>
              <w:spacing w:before="0" w:beforeAutospacing="false" w:after="0" w:afterAutospacing="false" w:lineRule="auto" w:line="360"/>
              <w:ind w:left="3402" w:hanging="3402"/>
              <w:outlineLvl w:val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Спеціальність</w:t>
            </w:r>
          </w:p>
          <w:p w14:paraId="81FCF9F3">
            <w:pPr>
              <w:pStyle w:val="style3"/>
              <w:spacing w:before="0" w:beforeAutospacing="false" w:after="0" w:afterAutospacing="false" w:lineRule="auto" w:line="360"/>
              <w:ind w:left="3402" w:hanging="3402"/>
              <w:outlineLvl w:val="2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lang w:val="en-US"/>
              </w:rPr>
              <w:t xml:space="preserve">G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Машинобудування</w:t>
            </w:r>
          </w:p>
          <w:p w14:paraId="50186D4B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vMerge w:val="continue"/>
            <w:tcBorders/>
            <w:vAlign w:val="center"/>
          </w:tcPr>
          <w:p w14:paraId="E05A7597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</w:tr>
      <w:tr w14:paraId="24B9FF6D">
        <w:tblPrEx/>
        <w:trPr>
          <w:trHeight w:val="838" w:hRule="atLeast"/>
        </w:trPr>
        <w:tc>
          <w:tcPr>
            <w:tcW w:w="1721" w:type="dxa"/>
            <w:tcBorders/>
          </w:tcPr>
          <w:p w14:paraId="8AA25F4F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Модулів – </w:t>
            </w:r>
            <w:r>
              <w:rPr>
                <w:color w:val="000000"/>
              </w:rPr>
              <w:t>5</w:t>
            </w:r>
          </w:p>
        </w:tc>
        <w:tc>
          <w:tcPr>
            <w:tcW w:w="4795" w:type="dxa"/>
            <w:vMerge w:val="restart"/>
            <w:tcBorders/>
          </w:tcPr>
          <w:p w14:paraId="9D8386CA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ОПП </w:t>
            </w:r>
          </w:p>
          <w:p w14:paraId="116766D5">
            <w:pPr>
              <w:pStyle w:val="style94"/>
              <w:spacing w:before="0" w:beforeAutospacing="false" w:after="0" w:afterAutospacing="false" w:lineRule="auto" w:line="360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>
              <w:rPr>
                <w:color w:val="000000"/>
              </w:rPr>
              <w:t>Технологія обробки матеріалів на верстатах і автоматичних лініях</w:t>
            </w:r>
            <w:r>
              <w:rPr>
                <w:color w:val="000000"/>
              </w:rPr>
              <w:t>»</w:t>
            </w:r>
          </w:p>
        </w:tc>
        <w:tc>
          <w:tcPr>
            <w:tcW w:w="2829" w:type="dxa"/>
            <w:tcBorders/>
            <w:vAlign w:val="center"/>
          </w:tcPr>
          <w:p w14:paraId="45CA3A7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Рік підготовки: </w:t>
            </w:r>
          </w:p>
          <w:p w14:paraId="568F03E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14:paraId="B72CC0D3">
        <w:tblPrEx/>
        <w:trPr/>
        <w:tc>
          <w:tcPr>
            <w:tcW w:w="1721" w:type="dxa"/>
            <w:tcBorders/>
          </w:tcPr>
          <w:p w14:paraId="C51C2FF5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Індивідуальне завдання – </w:t>
            </w:r>
          </w:p>
        </w:tc>
        <w:tc>
          <w:tcPr>
            <w:tcW w:w="4795" w:type="dxa"/>
            <w:vMerge w:val="continue"/>
            <w:tcBorders/>
          </w:tcPr>
          <w:p w14:paraId="50B3B533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vMerge w:val="restart"/>
            <w:tcBorders/>
            <w:vAlign w:val="center"/>
          </w:tcPr>
          <w:p w14:paraId="7ED7A00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Семестр: 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ІІІ</w:t>
            </w:r>
            <w:r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І</w:t>
            </w:r>
            <w:r>
              <w:rPr>
                <w:color w:val="000000"/>
                <w:lang w:val="en-US"/>
              </w:rPr>
              <w:t>V</w:t>
            </w:r>
          </w:p>
        </w:tc>
      </w:tr>
      <w:tr w14:paraId="A99BD64F">
        <w:tblPrEx/>
        <w:trPr/>
        <w:tc>
          <w:tcPr>
            <w:tcW w:w="1721" w:type="dxa"/>
            <w:tcBorders/>
          </w:tcPr>
          <w:p w14:paraId="CA378D2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Загальна кількість годин – </w:t>
            </w:r>
            <w:r>
              <w:rPr>
                <w:color w:val="000000"/>
              </w:rPr>
              <w:t>32</w:t>
            </w:r>
            <w:r>
              <w:rPr>
                <w:color w:val="000000"/>
              </w:rPr>
              <w:t>год.</w:t>
            </w:r>
          </w:p>
        </w:tc>
        <w:tc>
          <w:tcPr>
            <w:tcW w:w="4795" w:type="dxa"/>
            <w:vMerge w:val="continue"/>
            <w:tcBorders/>
          </w:tcPr>
          <w:p w14:paraId="309BFF1B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vMerge w:val="continue"/>
            <w:tcBorders/>
          </w:tcPr>
          <w:p w14:paraId="3C674D9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</w:tr>
      <w:tr w14:paraId="6BEDA4EB">
        <w:tblPrEx/>
        <w:trPr/>
        <w:tc>
          <w:tcPr>
            <w:tcW w:w="1721" w:type="dxa"/>
            <w:vMerge w:val="restart"/>
            <w:tcBorders/>
            <w:vAlign w:val="center"/>
          </w:tcPr>
          <w:p w14:paraId="8099123C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Тижневих годин:</w:t>
            </w:r>
          </w:p>
          <w:p w14:paraId="26400BC4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еместр</w:t>
            </w:r>
            <w:r>
              <w:rPr>
                <w:color w:val="000000"/>
              </w:rPr>
              <w:t xml:space="preserve"> </w:t>
            </w:r>
          </w:p>
          <w:p w14:paraId="4EA36452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аудиторних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>
              <w:t>І</w:t>
            </w:r>
            <w:r>
              <w:rPr>
                <w:lang w:val="en-US"/>
              </w:rPr>
              <w:t>V</w:t>
            </w:r>
            <w:r>
              <w:rPr>
                <w:color w:val="000000"/>
              </w:rPr>
              <w:t xml:space="preserve"> </w:t>
            </w:r>
          </w:p>
          <w:p w14:paraId="0B165E14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год</w:t>
            </w:r>
          </w:p>
          <w:p w14:paraId="3BEF3C5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restart"/>
            <w:tcBorders/>
            <w:vAlign w:val="center"/>
          </w:tcPr>
          <w:p w14:paraId="C20AEEA3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  <w:p w14:paraId="3C006330">
            <w:pPr>
              <w:pStyle w:val="style94"/>
              <w:spacing w:before="0" w:beforeAutospacing="false" w:after="0" w:afterAutospacing="false" w:lineRule="auto" w:line="360"/>
              <w:rPr>
                <w:color w:val="000000"/>
              </w:rPr>
            </w:pPr>
            <w:r>
              <w:rPr>
                <w:color w:val="000000"/>
              </w:rPr>
              <w:t xml:space="preserve">Освітньо-кваліфікаційний </w:t>
            </w:r>
            <w:r>
              <w:rPr>
                <w:color w:val="000000"/>
              </w:rPr>
              <w:t>ступінь</w:t>
            </w:r>
            <w:r>
              <w:rPr>
                <w:color w:val="000000"/>
              </w:rPr>
              <w:t>:</w:t>
            </w:r>
          </w:p>
          <w:p w14:paraId="12E542F9">
            <w:pPr>
              <w:pStyle w:val="style94"/>
              <w:spacing w:before="0" w:beforeAutospacing="false" w:after="0" w:afterAutospacing="false" w:lineRule="auto" w:line="360"/>
              <w:rPr>
                <w:color w:val="000000"/>
              </w:rPr>
            </w:pPr>
            <w:r>
              <w:rPr>
                <w:color w:val="000000"/>
              </w:rPr>
              <w:t>Фаховий молодший бакалавр</w:t>
            </w:r>
            <w:r>
              <w:rPr>
                <w:color w:val="000000"/>
              </w:rPr>
              <w:t xml:space="preserve"> </w:t>
            </w:r>
          </w:p>
          <w:p w14:paraId="7E800C19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6B7F57FA">
            <w:pPr>
              <w:pStyle w:val="style94"/>
              <w:spacing w:before="0" w:beforeAutospacing="false" w:after="0" w:afterAutospacing="false" w:lineRule="auto" w:line="276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Загальний обсяг:150 годин</w:t>
            </w:r>
          </w:p>
        </w:tc>
      </w:tr>
      <w:tr w14:paraId="940D4256">
        <w:tblPrEx/>
        <w:trPr/>
        <w:tc>
          <w:tcPr>
            <w:tcW w:w="1721" w:type="dxa"/>
            <w:vMerge w:val="continue"/>
            <w:tcBorders/>
          </w:tcPr>
          <w:p w14:paraId="CD35166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6FB31AF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AED84A6A">
            <w:pPr>
              <w:pStyle w:val="style94"/>
              <w:spacing w:before="0" w:beforeAutospacing="false" w:after="0" w:afterAutospacing="false" w:lineRule="auto" w:line="27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Теоретична підготовка</w:t>
            </w:r>
            <w:r>
              <w:rPr>
                <w:b/>
                <w:color w:val="000000"/>
              </w:rPr>
              <w:t xml:space="preserve">:46 </w:t>
            </w:r>
            <w:r>
              <w:rPr>
                <w:b/>
                <w:color w:val="000000"/>
              </w:rPr>
              <w:t xml:space="preserve"> </w:t>
            </w:r>
          </w:p>
        </w:tc>
      </w:tr>
      <w:tr w14:paraId="08BB6226">
        <w:tblPrEx/>
        <w:trPr/>
        <w:tc>
          <w:tcPr>
            <w:tcW w:w="1721" w:type="dxa"/>
            <w:vMerge w:val="continue"/>
            <w:tcBorders/>
          </w:tcPr>
          <w:p w14:paraId="55010F7F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D2541CF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02117705">
            <w:pPr>
              <w:pStyle w:val="style94"/>
              <w:spacing w:before="0" w:beforeAutospacing="false" w:after="0" w:afterAutospacing="false" w:lineRule="auto" w:line="276"/>
              <w:jc w:val="both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Практична підготовка: 64</w:t>
            </w:r>
          </w:p>
        </w:tc>
      </w:tr>
      <w:tr w14:paraId="0A1B033D">
        <w:tblPrEx/>
        <w:trPr/>
        <w:tc>
          <w:tcPr>
            <w:tcW w:w="1721" w:type="dxa"/>
            <w:vMerge w:val="continue"/>
            <w:tcBorders/>
          </w:tcPr>
          <w:p w14:paraId="6A5544F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B8537DAB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C9454085">
            <w:pPr>
              <w:pStyle w:val="style94"/>
              <w:spacing w:before="0" w:beforeAutospacing="false" w:after="0" w:afterAutospacing="false" w:lineRule="auto" w:line="276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Самостійна робота: 40 год</w:t>
            </w:r>
          </w:p>
        </w:tc>
      </w:tr>
      <w:tr w14:paraId="D0423321">
        <w:tblPrEx/>
        <w:trPr/>
        <w:tc>
          <w:tcPr>
            <w:tcW w:w="1721" w:type="dxa"/>
            <w:vMerge w:val="continue"/>
            <w:tcBorders/>
          </w:tcPr>
          <w:p w14:paraId="982B662B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C427B5C3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A0F62C80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  <w:color w:val="000000"/>
              </w:rPr>
            </w:pPr>
          </w:p>
        </w:tc>
      </w:tr>
      <w:tr w14:paraId="AD7D8D94">
        <w:tblPrEx/>
        <w:trPr/>
        <w:tc>
          <w:tcPr>
            <w:tcW w:w="1721" w:type="dxa"/>
            <w:vMerge w:val="continue"/>
            <w:tcBorders/>
          </w:tcPr>
          <w:p w14:paraId="17A303FA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4E60EE04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C4FA3D91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- </w:t>
            </w:r>
          </w:p>
        </w:tc>
      </w:tr>
      <w:tr w14:paraId="6DC914B6">
        <w:tblPrEx/>
        <w:trPr/>
        <w:tc>
          <w:tcPr>
            <w:tcW w:w="1721" w:type="dxa"/>
            <w:vMerge w:val="continue"/>
            <w:tcBorders/>
          </w:tcPr>
          <w:p w14:paraId="7511CC13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5B8E3BE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539B4E5E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  <w:color w:val="000000"/>
              </w:rPr>
            </w:pPr>
          </w:p>
        </w:tc>
      </w:tr>
      <w:tr w14:paraId="8375F97D">
        <w:tblPrEx/>
        <w:trPr/>
        <w:tc>
          <w:tcPr>
            <w:tcW w:w="1721" w:type="dxa"/>
            <w:vMerge w:val="continue"/>
            <w:tcBorders/>
          </w:tcPr>
          <w:p w14:paraId="33E93EB6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E181A78A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8A1EFF6E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</w:p>
        </w:tc>
      </w:tr>
      <w:tr w14:paraId="445701C9">
        <w:tblPrEx/>
        <w:trPr/>
        <w:tc>
          <w:tcPr>
            <w:tcW w:w="1721" w:type="dxa"/>
            <w:vMerge w:val="continue"/>
            <w:tcBorders/>
          </w:tcPr>
          <w:p w14:paraId="21004B9D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77F395B7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1494BB5E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Індивідуальні завдання:</w:t>
            </w:r>
          </w:p>
        </w:tc>
      </w:tr>
      <w:tr w14:paraId="2CC77CA4">
        <w:tblPrEx/>
        <w:trPr/>
        <w:tc>
          <w:tcPr>
            <w:tcW w:w="1721" w:type="dxa"/>
            <w:vMerge w:val="continue"/>
            <w:tcBorders/>
          </w:tcPr>
          <w:p w14:paraId="860A295F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5D49A2C2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39889BFA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14:paraId="E628E852">
        <w:tblPrEx/>
        <w:trPr/>
        <w:tc>
          <w:tcPr>
            <w:tcW w:w="1721" w:type="dxa"/>
            <w:vMerge w:val="continue"/>
            <w:tcBorders/>
          </w:tcPr>
          <w:p w14:paraId="F0530E70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4795" w:type="dxa"/>
            <w:vMerge w:val="continue"/>
            <w:tcBorders/>
          </w:tcPr>
          <w:p w14:paraId="2BE34EDE">
            <w:pPr>
              <w:pStyle w:val="style94"/>
              <w:spacing w:before="0" w:beforeAutospacing="false" w:after="0" w:afterAutospacing="false" w:lineRule="auto" w:line="360"/>
              <w:jc w:val="center"/>
              <w:rPr>
                <w:color w:val="000000"/>
              </w:rPr>
            </w:pPr>
          </w:p>
        </w:tc>
        <w:tc>
          <w:tcPr>
            <w:tcW w:w="2829" w:type="dxa"/>
            <w:tcBorders/>
          </w:tcPr>
          <w:p w14:paraId="FCD621AE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контролю:</w:t>
            </w:r>
          </w:p>
          <w:p w14:paraId="B93DA6F4">
            <w:pPr>
              <w:pStyle w:val="style94"/>
              <w:spacing w:before="0" w:beforeAutospacing="false" w:after="0" w:afterAutospacing="false" w:lineRule="auto" w:line="276"/>
              <w:rPr>
                <w:color w:val="000000"/>
              </w:rPr>
            </w:pPr>
            <w:r>
              <w:t>І</w:t>
            </w:r>
            <w:r>
              <w:rPr>
                <w:lang w:val="en-US"/>
              </w:rPr>
              <w:t>V</w:t>
            </w:r>
            <w:r>
              <w:t xml:space="preserve">-й семестр – </w:t>
            </w:r>
            <w:r>
              <w:rPr>
                <w:color w:val="000000"/>
              </w:rPr>
              <w:t>залік</w:t>
            </w:r>
          </w:p>
        </w:tc>
      </w:tr>
    </w:tbl>
    <w:p w14:paraId="95BBBECA">
      <w:pPr>
        <w:pStyle w:val="style9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BFEBEAF6">
      <w:pPr>
        <w:pStyle w:val="style9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Мета та завдання навчальної дисципліни</w:t>
      </w:r>
    </w:p>
    <w:p w14:paraId="EAB2983C">
      <w:pPr>
        <w:pStyle w:val="style0"/>
        <w:jc w:val="center"/>
        <w:rPr>
          <w:b/>
          <w:bCs/>
          <w:sz w:val="28"/>
          <w:szCs w:val="28"/>
        </w:rPr>
      </w:pPr>
      <w:r>
        <w:rPr>
          <w:b/>
        </w:rPr>
        <w:t xml:space="preserve">              </w:t>
      </w:r>
      <w:r>
        <w:rPr>
          <w:b/>
        </w:rPr>
        <w:t>Мета навчальної дисципліни</w:t>
      </w:r>
      <w:r>
        <w:t xml:space="preserve"> – </w:t>
      </w:r>
    </w:p>
    <w:p w14:paraId="FC6053FF">
      <w:pPr>
        <w:pStyle w:val="style0"/>
        <w:ind w:firstLine="708"/>
        <w:jc w:val="both"/>
        <w:rPr/>
      </w:pPr>
      <w:r>
        <w:t xml:space="preserve">Основи національного спротиву </w:t>
      </w:r>
      <w:r>
        <w:t xml:space="preserve"> є складовою частиною підготовки майбутніх фахівців на всіх ступенях навчання в коледжі й вивчається в </w:t>
      </w:r>
      <w:r>
        <w:t>третьому-шостому</w:t>
      </w:r>
      <w:r>
        <w:t xml:space="preserve"> семестрі.</w:t>
      </w:r>
    </w:p>
    <w:p w14:paraId="779B61F3">
      <w:pPr>
        <w:pStyle w:val="style0"/>
        <w:ind w:firstLine="708"/>
        <w:jc w:val="both"/>
        <w:rPr/>
      </w:pPr>
      <w:r>
        <w:t>Мета дисципліни –</w:t>
      </w:r>
      <w:r>
        <w:t xml:space="preserve"> набуття здобувачами освіти загальної компетентності «здатність до національного спротиву» шляхом формування національно-патріотичної свідомості, громадської стійкості та набуття ними комплексу теоретичних знань і практичних навичок домедичної підготовки, тактичних дій, мінної безпеки, зв’язку та </w:t>
      </w:r>
      <w:r>
        <w:t>орієнтування, а також</w:t>
      </w:r>
      <w:r>
        <w:t xml:space="preserve"> </w:t>
      </w:r>
      <w:r>
        <w:rPr>
          <w:lang w:val="ru-RU"/>
        </w:rPr>
        <w:t xml:space="preserve"> через </w:t>
      </w:r>
      <w:r>
        <w:t xml:space="preserve">розвиток психологічної стійкості та розуміння логіки національного спротиву, необхідних для виконання конституційного обов’язку щодо захисту Вітчизни, незалежності та територіальної цілісності України. </w:t>
      </w:r>
    </w:p>
    <w:p w14:paraId="7BA2DD6B">
      <w:pPr>
        <w:pStyle w:val="style0"/>
        <w:jc w:val="both"/>
        <w:rPr/>
      </w:pPr>
    </w:p>
    <w:p w14:paraId="0FE25B13">
      <w:pPr>
        <w:pStyle w:val="style0"/>
        <w:jc w:val="both"/>
        <w:rPr/>
      </w:pPr>
      <w:r>
        <w:rPr>
          <w:b/>
          <w:color w:val="000000"/>
        </w:rPr>
        <w:t xml:space="preserve">            </w:t>
      </w:r>
      <w:r>
        <w:rPr>
          <w:b/>
        </w:rPr>
        <w:t>Основні з</w:t>
      </w:r>
      <w:r>
        <w:rPr>
          <w:b/>
        </w:rPr>
        <w:t>авдання дисципліни:</w:t>
      </w:r>
      <w:r>
        <w:t xml:space="preserve"> </w:t>
      </w:r>
    </w:p>
    <w:p w14:paraId="26ED2E97">
      <w:pPr>
        <w:pStyle w:val="style0"/>
        <w:numPr>
          <w:ilvl w:val="0"/>
          <w:numId w:val="2"/>
        </w:numPr>
        <w:jc w:val="both"/>
        <w:rPr/>
      </w:pPr>
      <w:r>
        <w:t xml:space="preserve">Набуття знань про засадчі та правові аспекти національного спротиву, </w:t>
      </w:r>
      <w:r>
        <w:t>в тому числі на тимчасово окупованій території,  долучення до волонтерства та допомоги Силам безпеки та оборони України</w:t>
      </w:r>
      <w:r>
        <w:t>;</w:t>
      </w:r>
    </w:p>
    <w:p w14:paraId="6CD6C861">
      <w:pPr>
        <w:pStyle w:val="style0"/>
        <w:numPr>
          <w:ilvl w:val="0"/>
          <w:numId w:val="2"/>
        </w:numPr>
        <w:jc w:val="both"/>
        <w:rPr/>
      </w:pPr>
      <w:r>
        <w:t>Здобуття здатності діяти в умовах воєнних загроз, надзвичайних ситуацій та кризових станів, приймати рішення та забезпечувати власну і колективну безпеку;</w:t>
      </w:r>
    </w:p>
    <w:p w14:paraId="D7DB1AF1">
      <w:pPr>
        <w:pStyle w:val="style0"/>
        <w:numPr>
          <w:ilvl w:val="0"/>
          <w:numId w:val="2"/>
        </w:numPr>
        <w:jc w:val="both"/>
        <w:rPr/>
      </w:pPr>
      <w:r>
        <w:t xml:space="preserve">Оволодіння навичками домедичної допомоги в умовах бойових дій за алгоритмом </w:t>
      </w:r>
      <w:r>
        <w:rPr>
          <w:lang w:val="en-US"/>
        </w:rPr>
        <w:t>MARCH</w:t>
      </w:r>
      <w:r>
        <w:t>;</w:t>
      </w:r>
    </w:p>
    <w:p w14:paraId="77940C64">
      <w:pPr>
        <w:pStyle w:val="style0"/>
        <w:numPr>
          <w:ilvl w:val="0"/>
          <w:numId w:val="2"/>
        </w:numPr>
        <w:jc w:val="both"/>
        <w:rPr/>
      </w:pPr>
      <w:r>
        <w:t>Вивчення правил мінної безпеки та дій в умовах застосування зброї масового ураження;</w:t>
      </w:r>
    </w:p>
    <w:p w14:paraId="281C2843">
      <w:pPr>
        <w:pStyle w:val="style0"/>
        <w:numPr>
          <w:ilvl w:val="0"/>
          <w:numId w:val="2"/>
        </w:numPr>
        <w:jc w:val="both"/>
        <w:rPr/>
      </w:pPr>
      <w:r>
        <w:t>Орієнтування на місцевості за допомогою карти і компаса та з використанням геоінформаційних систем;</w:t>
      </w:r>
    </w:p>
    <w:p w14:paraId="E718571F">
      <w:pPr>
        <w:pStyle w:val="style0"/>
        <w:numPr>
          <w:ilvl w:val="0"/>
          <w:numId w:val="2"/>
        </w:numPr>
        <w:jc w:val="both"/>
        <w:rPr/>
      </w:pPr>
      <w:r>
        <w:t>Ознайомлення з основами виживання;</w:t>
      </w:r>
    </w:p>
    <w:p w14:paraId="411F35DC">
      <w:pPr>
        <w:pStyle w:val="style0"/>
        <w:numPr>
          <w:ilvl w:val="0"/>
          <w:numId w:val="2"/>
        </w:numPr>
        <w:jc w:val="both"/>
        <w:rPr/>
      </w:pPr>
      <w:r>
        <w:t>Ознайомлення з основами цифрової безпеки;</w:t>
      </w:r>
    </w:p>
    <w:p w14:paraId="A3E01C11">
      <w:pPr>
        <w:pStyle w:val="style0"/>
        <w:numPr>
          <w:ilvl w:val="0"/>
          <w:numId w:val="2"/>
        </w:numPr>
        <w:jc w:val="both"/>
        <w:rPr/>
      </w:pPr>
      <w:r>
        <w:t>Формування психологічної стійкості та навичок протидії інформаційним та психологічним впливам ворога;</w:t>
      </w:r>
    </w:p>
    <w:p w14:paraId="1072EF55">
      <w:pPr>
        <w:pStyle w:val="style0"/>
        <w:numPr>
          <w:ilvl w:val="0"/>
          <w:numId w:val="2"/>
        </w:numPr>
        <w:jc w:val="both"/>
        <w:rPr/>
      </w:pPr>
      <w:r>
        <w:t>Засвоєння правил безпечного поводження зі стрілецькою зброєю і ручними гранатами, та формування навичок ведення вогню зі стрілецької зброї.</w:t>
      </w:r>
    </w:p>
    <w:p w14:paraId="1C4468A4">
      <w:pPr>
        <w:pStyle w:val="style0"/>
        <w:jc w:val="both"/>
        <w:rPr/>
      </w:pPr>
    </w:p>
    <w:p w14:paraId="985C616E">
      <w:pPr>
        <w:pStyle w:val="style94"/>
        <w:spacing w:before="0" w:beforeAutospacing="false" w:after="0" w:afterAutospacing="false" w:lineRule="auto" w:line="276"/>
        <w:jc w:val="center"/>
        <w:rPr>
          <w:b/>
        </w:rPr>
      </w:pPr>
      <w:r>
        <w:rPr>
          <w:b/>
        </w:rPr>
        <w:t>Як результат вивчення навчальної дисципліни студент повинен знати:</w:t>
      </w:r>
    </w:p>
    <w:p w14:paraId="37585068">
      <w:pPr>
        <w:pStyle w:val="style0"/>
        <w:numPr>
          <w:ilvl w:val="0"/>
          <w:numId w:val="2"/>
        </w:numPr>
        <w:jc w:val="both"/>
        <w:rPr/>
      </w:pPr>
      <w:r>
        <w:t>предмет, мету вивчення, завдання і значення курсу;</w:t>
      </w:r>
    </w:p>
    <w:p w14:paraId="DC291D90">
      <w:pPr>
        <w:pStyle w:val="style0"/>
        <w:numPr>
          <w:ilvl w:val="0"/>
          <w:numId w:val="2"/>
        </w:numPr>
        <w:jc w:val="both"/>
        <w:rPr/>
      </w:pPr>
      <w:r>
        <w:t xml:space="preserve">правові засади: Законодавство України про національний </w:t>
      </w:r>
      <w:r>
        <w:t>спротив, його мету. Завдання та складові</w:t>
      </w:r>
      <w:r>
        <w:t>;</w:t>
      </w:r>
    </w:p>
    <w:p w14:paraId="F762FD80">
      <w:pPr>
        <w:pStyle w:val="style0"/>
        <w:numPr>
          <w:ilvl w:val="0"/>
          <w:numId w:val="2"/>
        </w:numPr>
        <w:jc w:val="both"/>
        <w:rPr/>
      </w:pPr>
      <w:r>
        <w:t>основні принципи міжнародного гуманітарного права, правовий статус учасників збройних конфліктів</w:t>
      </w:r>
      <w:r>
        <w:t>, права цивільного населення, військовополонених та інтернованих осіб</w:t>
      </w:r>
      <w:r>
        <w:t>;</w:t>
      </w:r>
    </w:p>
    <w:p w14:paraId="96CC67EE">
      <w:pPr>
        <w:pStyle w:val="style0"/>
        <w:numPr>
          <w:ilvl w:val="0"/>
          <w:numId w:val="2"/>
        </w:numPr>
        <w:jc w:val="both"/>
        <w:rPr/>
      </w:pPr>
      <w:r>
        <w:t>прийоми, методи та способи саморегуляції психіки, особливості впливу стресових факторів на психіку людини в умовах надзвичайних ситуацій та збройного конфлікту;</w:t>
      </w:r>
    </w:p>
    <w:p w14:paraId="25AABA7F">
      <w:pPr>
        <w:pStyle w:val="style0"/>
        <w:numPr>
          <w:ilvl w:val="0"/>
          <w:numId w:val="2"/>
        </w:numPr>
        <w:jc w:val="both"/>
        <w:rPr/>
      </w:pPr>
      <w:r>
        <w:t>основні принципи та застосування  допомоги в польових умовах (</w:t>
      </w:r>
      <w:r>
        <w:rPr>
          <w:lang w:val="en-US"/>
        </w:rPr>
        <w:t>TFC</w:t>
      </w:r>
      <w:r>
        <w:t xml:space="preserve">) за алгоритмом </w:t>
      </w:r>
      <w:r>
        <w:rPr>
          <w:lang w:val="en-US"/>
        </w:rPr>
        <w:t xml:space="preserve">    MARCH</w:t>
      </w:r>
      <w:r>
        <w:t>;</w:t>
      </w:r>
    </w:p>
    <w:p w14:paraId="5A6AC11C">
      <w:pPr>
        <w:pStyle w:val="style0"/>
        <w:numPr>
          <w:ilvl w:val="0"/>
          <w:numId w:val="2"/>
        </w:numPr>
        <w:jc w:val="both"/>
        <w:rPr/>
      </w:pPr>
      <w:r>
        <w:t>основи топографії, способи орієнтування на місцевості, зокрема за допомогою геоінформаційних систем;</w:t>
      </w:r>
    </w:p>
    <w:p w14:paraId="557B4776">
      <w:pPr>
        <w:pStyle w:val="style0"/>
        <w:numPr>
          <w:ilvl w:val="0"/>
          <w:numId w:val="2"/>
        </w:numPr>
        <w:jc w:val="both"/>
        <w:rPr/>
      </w:pPr>
      <w:r>
        <w:t xml:space="preserve">основи передачі інформації в бойових умовах, правила безпеки застосування смартфонів і мобільних пристроїв, роботи в інтернеті,  захисту електронної пошти, протидію технічному зараженню та безпечному використанню публічних </w:t>
      </w:r>
      <w:r>
        <w:rPr>
          <w:lang w:val="en-US"/>
        </w:rPr>
        <w:t>WI –FI</w:t>
      </w:r>
      <w:r>
        <w:t>;</w:t>
      </w:r>
    </w:p>
    <w:p w14:paraId="F5B501CD">
      <w:pPr>
        <w:pStyle w:val="style0"/>
        <w:numPr>
          <w:ilvl w:val="0"/>
          <w:numId w:val="2"/>
        </w:numPr>
        <w:jc w:val="both"/>
        <w:rPr/>
      </w:pPr>
      <w:r>
        <w:t>основні види зброї масового ураження, ознаки застосовування різних видів масового ураження та основні  правила поведінки на зараженій місцевості;</w:t>
      </w:r>
    </w:p>
    <w:p w14:paraId="E5B99A6E">
      <w:pPr>
        <w:pStyle w:val="style0"/>
        <w:numPr>
          <w:ilvl w:val="0"/>
          <w:numId w:val="2"/>
        </w:numPr>
        <w:jc w:val="both"/>
        <w:rPr/>
      </w:pPr>
      <w:r>
        <w:t>основні принципи мінної безпеки, демаскуючі ознаки вибухонебезпечних предметів, правила безпечної поведінки при виявленні мін та інших вибухонебезпечних предметів;</w:t>
      </w:r>
    </w:p>
    <w:p w14:paraId="CE3F7CCD">
      <w:pPr>
        <w:pStyle w:val="style0"/>
        <w:numPr>
          <w:ilvl w:val="0"/>
          <w:numId w:val="2"/>
        </w:numPr>
        <w:jc w:val="both"/>
        <w:rPr/>
      </w:pPr>
      <w:r>
        <w:t>основні правила загальновійськового бою, призначення та бойові  можливості родів військ</w:t>
      </w:r>
      <w:r>
        <w:t>;</w:t>
      </w:r>
    </w:p>
    <w:p w14:paraId="2DD28629">
      <w:pPr>
        <w:pStyle w:val="style0"/>
        <w:numPr>
          <w:ilvl w:val="0"/>
          <w:numId w:val="2"/>
        </w:numPr>
        <w:jc w:val="both"/>
        <w:rPr/>
      </w:pPr>
      <w:r>
        <w:t>основи балістики, маніпуляції з АК/А</w:t>
      </w:r>
      <w:r>
        <w:rPr>
          <w:lang w:val="en-US"/>
        </w:rPr>
        <w:t>R</w:t>
      </w:r>
      <w:r>
        <w:t xml:space="preserve"> системами, прицілювання, коригування вогню;</w:t>
      </w:r>
    </w:p>
    <w:p w14:paraId="45E394EA">
      <w:pPr>
        <w:pStyle w:val="style0"/>
        <w:numPr>
          <w:ilvl w:val="0"/>
          <w:numId w:val="2"/>
        </w:numPr>
        <w:jc w:val="both"/>
        <w:rPr/>
      </w:pPr>
      <w:r>
        <w:t>основи виживання, основні заходи забезпечення житт</w:t>
      </w:r>
      <w:r>
        <w:t>єдіяльності в автономних умовах;</w:t>
      </w:r>
    </w:p>
    <w:p w14:paraId="837D93E5">
      <w:pPr>
        <w:pStyle w:val="style0"/>
        <w:numPr>
          <w:ilvl w:val="0"/>
          <w:numId w:val="2"/>
        </w:numPr>
        <w:jc w:val="both"/>
        <w:rPr/>
      </w:pPr>
      <w:r>
        <w:t>сучасні військові технології, роботизація та безпілотні літальні апарати;</w:t>
      </w:r>
    </w:p>
    <w:p w14:paraId="5DC44CA5">
      <w:pPr>
        <w:pStyle w:val="style0"/>
        <w:numPr>
          <w:ilvl w:val="0"/>
          <w:numId w:val="2"/>
        </w:numPr>
        <w:jc w:val="both"/>
        <w:rPr/>
      </w:pPr>
      <w:r>
        <w:t xml:space="preserve"> </w:t>
      </w:r>
    </w:p>
    <w:p w14:paraId="ACC586D9">
      <w:pPr>
        <w:pStyle w:val="style94"/>
        <w:spacing w:before="0" w:beforeAutospacing="false" w:after="0" w:afterAutospacing="false" w:lineRule="auto" w:line="276"/>
        <w:ind w:firstLine="709"/>
        <w:jc w:val="both"/>
        <w:rPr/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833"/>
        <w:gridCol w:w="3050"/>
        <w:gridCol w:w="5473"/>
      </w:tblGrid>
      <w:tr w14:paraId="D434BA84">
        <w:trPr/>
        <w:tc>
          <w:tcPr>
            <w:tcW w:w="9345" w:type="dxa"/>
            <w:gridSpan w:val="3"/>
            <w:tcBorders/>
          </w:tcPr>
          <w:p w14:paraId="785C2BD4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Компетентнісний потенціал дисципліни</w:t>
            </w:r>
            <w:r>
              <w:rPr>
                <w:b/>
              </w:rPr>
              <w:t xml:space="preserve"> «Українська мова за ПС</w:t>
            </w:r>
            <w:r>
              <w:rPr>
                <w:b/>
              </w:rPr>
              <w:t>»</w:t>
            </w:r>
          </w:p>
        </w:tc>
      </w:tr>
      <w:tr w14:paraId="3A3DBDD9">
        <w:tblPrEx/>
        <w:trPr/>
        <w:tc>
          <w:tcPr>
            <w:tcW w:w="759" w:type="dxa"/>
            <w:tcBorders/>
          </w:tcPr>
          <w:p w14:paraId="842D4F1D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№з/п</w:t>
            </w:r>
          </w:p>
        </w:tc>
        <w:tc>
          <w:tcPr>
            <w:tcW w:w="3064" w:type="dxa"/>
            <w:tcBorders/>
          </w:tcPr>
          <w:p w14:paraId="95C06858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Ключова компетентність</w:t>
            </w:r>
          </w:p>
        </w:tc>
        <w:tc>
          <w:tcPr>
            <w:tcW w:w="5522" w:type="dxa"/>
            <w:tcBorders/>
          </w:tcPr>
          <w:p w14:paraId="559E6C7C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Уміння і ставлення, формування яких можна забезпечити засобами дисципліни</w:t>
            </w:r>
          </w:p>
        </w:tc>
      </w:tr>
      <w:tr w14:paraId="10E46285">
        <w:tblPrEx/>
        <w:trPr/>
        <w:tc>
          <w:tcPr>
            <w:tcW w:w="759" w:type="dxa"/>
            <w:tcBorders/>
          </w:tcPr>
          <w:p w14:paraId="FA36009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1.</w:t>
            </w:r>
          </w:p>
        </w:tc>
        <w:tc>
          <w:tcPr>
            <w:tcW w:w="3064" w:type="dxa"/>
            <w:tcBorders/>
          </w:tcPr>
          <w:p w14:paraId="A5607068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Спілкування державною ( і рідною у разі відмінності)</w:t>
            </w:r>
          </w:p>
        </w:tc>
        <w:tc>
          <w:tcPr>
            <w:tcW w:w="5522" w:type="dxa"/>
            <w:tcBorders/>
          </w:tcPr>
          <w:p w14:paraId="CB84E03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</w:t>
            </w:r>
            <w:r>
              <w:t xml:space="preserve">: </w:t>
            </w:r>
          </w:p>
          <w:p w14:paraId="E920854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розуміти україномовні тексти різних жанрів і стилів; </w:t>
            </w:r>
          </w:p>
          <w:p w14:paraId="9FDC2F1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послуговуватися державною мовою в різноманітних життєвих ситуаціях; </w:t>
            </w:r>
          </w:p>
          <w:p w14:paraId="59BC194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застосовувати різноманітні комунікативні стратегії залежно від мети спілкування; </w:t>
            </w:r>
          </w:p>
          <w:p w14:paraId="379CCE8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толерантно дискутувати, відстоювати власну думку. </w:t>
            </w:r>
          </w:p>
          <w:p w14:paraId="40069631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42AB26E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поцінування краси й багатства української мови; – усвідомлення ролі української мови як ключового чинника творення нації і держави, самоствердження особистості; </w:t>
            </w:r>
          </w:p>
          <w:p w14:paraId="83A719B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відстоювання права спілкуватися українською мовою в різноманітних сферах життя суспільства.</w:t>
            </w:r>
          </w:p>
        </w:tc>
      </w:tr>
      <w:tr w14:paraId="7E60A916">
        <w:tblPrEx/>
        <w:trPr/>
        <w:tc>
          <w:tcPr>
            <w:tcW w:w="759" w:type="dxa"/>
            <w:tcBorders/>
          </w:tcPr>
          <w:p w14:paraId="6999A68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2.</w:t>
            </w:r>
          </w:p>
        </w:tc>
        <w:tc>
          <w:tcPr>
            <w:tcW w:w="3064" w:type="dxa"/>
            <w:tcBorders/>
          </w:tcPr>
          <w:p w14:paraId="4068379F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Спілкування іноземними мовами</w:t>
            </w:r>
          </w:p>
        </w:tc>
        <w:tc>
          <w:tcPr>
            <w:tcW w:w="5522" w:type="dxa"/>
            <w:tcBorders/>
          </w:tcPr>
          <w:p w14:paraId="2230A03D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2793C1B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-розуміти англомовні скорочення та знати їх зміст; </w:t>
            </w:r>
          </w:p>
          <w:p w14:paraId="1225F12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 читати та розуміти тексти англійською мовою та інструкції до використання приладів, аптечок тощо</w:t>
            </w:r>
          </w:p>
          <w:p w14:paraId="F10A4A01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C78CCD89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утверд</w:t>
            </w:r>
            <w:r>
              <w:t>ження значення англійської мови як мови міжнаціонального спілкування;</w:t>
            </w:r>
          </w:p>
          <w:p w14:paraId="4CF3608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розуміння ролі іноземної мови як засобу пізнання іншого світу,</w:t>
            </w:r>
            <w:r>
              <w:t xml:space="preserve"> розширення  власного </w:t>
            </w:r>
            <w:r>
              <w:t xml:space="preserve"> досвіду.</w:t>
            </w:r>
          </w:p>
        </w:tc>
      </w:tr>
      <w:tr w14:paraId="87CE2781">
        <w:tblPrEx/>
        <w:trPr/>
        <w:tc>
          <w:tcPr>
            <w:tcW w:w="759" w:type="dxa"/>
            <w:tcBorders/>
          </w:tcPr>
          <w:p w14:paraId="8D4D5C0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3.</w:t>
            </w:r>
          </w:p>
        </w:tc>
        <w:tc>
          <w:tcPr>
            <w:tcW w:w="3064" w:type="dxa"/>
            <w:tcBorders/>
          </w:tcPr>
          <w:p w14:paraId="E94517ED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Математична компетентність</w:t>
            </w:r>
          </w:p>
        </w:tc>
        <w:tc>
          <w:tcPr>
            <w:tcW w:w="5522" w:type="dxa"/>
            <w:tcBorders/>
          </w:tcPr>
          <w:p w14:paraId="E3C6F62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Уміння:</w:t>
            </w:r>
            <w:r>
              <w:t xml:space="preserve"> </w:t>
            </w:r>
          </w:p>
          <w:p w14:paraId="D5C70E9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розвивати абстрактне мислення; </w:t>
            </w:r>
          </w:p>
          <w:p w14:paraId="BAAB24B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установлювати причинно-наслідкові зв’язки, виокремлювати головну та другорядн</w:t>
            </w:r>
            <w:r>
              <w:t>у інформацію; – робити розрахунки, будувати схеми, графіки</w:t>
            </w:r>
            <w:r>
              <w:t xml:space="preserve">; </w:t>
            </w:r>
          </w:p>
          <w:p w14:paraId="E0D2093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перетворювати інформацію з однієї форми в іншу (текст, графік, таблиця, схема). </w:t>
            </w:r>
          </w:p>
          <w:p w14:paraId="635971C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E605238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прагнення застосовування знання з математики під час вогневої підготовки, орієнтуванні на місцевості;</w:t>
            </w:r>
          </w:p>
          <w:p w14:paraId="34440B5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-усвідомлення</w:t>
            </w:r>
            <w:r>
              <w:t xml:space="preserve"> важливості математичних знань під час воєнних загроз, надзвичайних ситуацій</w:t>
            </w:r>
            <w:r>
              <w:t xml:space="preserve">  </w:t>
            </w:r>
            <w:r>
              <w:t>.</w:t>
            </w:r>
          </w:p>
        </w:tc>
      </w:tr>
      <w:tr w14:paraId="920C5FEF">
        <w:tblPrEx/>
        <w:trPr/>
        <w:tc>
          <w:tcPr>
            <w:tcW w:w="759" w:type="dxa"/>
            <w:tcBorders/>
          </w:tcPr>
          <w:p w14:paraId="0C78CAE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4.</w:t>
            </w:r>
          </w:p>
        </w:tc>
        <w:tc>
          <w:tcPr>
            <w:tcW w:w="3064" w:type="dxa"/>
            <w:tcBorders/>
          </w:tcPr>
          <w:p w14:paraId="5282CEE7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Компетентності у природничих науках і технологіях</w:t>
            </w:r>
          </w:p>
        </w:tc>
        <w:tc>
          <w:tcPr>
            <w:tcW w:w="5522" w:type="dxa"/>
            <w:tcBorders/>
          </w:tcPr>
          <w:p w14:paraId="B7BB498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</w:t>
            </w:r>
            <w:r>
              <w:t xml:space="preserve">: </w:t>
            </w:r>
          </w:p>
          <w:p w14:paraId="19C254E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використовувати знання  під час військової топографії, навігації, орієнтуванні на місцевості;</w:t>
            </w:r>
          </w:p>
          <w:p w14:paraId="B465EAE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-знаходити ресурси та забезпечувати життєдіяльність в автономних умовах виживання;</w:t>
            </w:r>
          </w:p>
          <w:p w14:paraId="8BF0CE3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</w:t>
            </w: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B5910D9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готовність до опанування новітніми технологіями; – оперативне реагування на технологічні зміни.</w:t>
            </w:r>
          </w:p>
        </w:tc>
      </w:tr>
      <w:tr w14:paraId="DB1964D5">
        <w:tblPrEx/>
        <w:trPr/>
        <w:tc>
          <w:tcPr>
            <w:tcW w:w="759" w:type="dxa"/>
            <w:tcBorders/>
          </w:tcPr>
          <w:p w14:paraId="50067F3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5.</w:t>
            </w:r>
          </w:p>
        </w:tc>
        <w:tc>
          <w:tcPr>
            <w:tcW w:w="3064" w:type="dxa"/>
            <w:tcBorders/>
          </w:tcPr>
          <w:p w14:paraId="484A462B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Інформаційно-цифрова компетентність</w:t>
            </w:r>
          </w:p>
        </w:tc>
        <w:tc>
          <w:tcPr>
            <w:tcW w:w="5522" w:type="dxa"/>
            <w:tcBorders/>
          </w:tcPr>
          <w:p w14:paraId="3C5D719F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3F1D162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діяти за алгоритмом; </w:t>
            </w:r>
          </w:p>
          <w:p w14:paraId="C99D2F7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працювати в різних пошукових системах для отримання потрібної інформації; </w:t>
            </w:r>
          </w:p>
          <w:p w14:paraId="8B00892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розпізнавати маніпулятивні технології і протистояти їм;</w:t>
            </w:r>
          </w:p>
          <w:p w14:paraId="8961516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грамотно й безпечно спілкуватися в мережі Інтернет. </w:t>
            </w:r>
          </w:p>
          <w:p w14:paraId="46CAF9A4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B780389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прагнення дотримуватися етичних норм у віртуальному інформаційному просторі; </w:t>
            </w:r>
          </w:p>
          <w:p w14:paraId="71CA85F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задоволення пізнавального інтересу в інформаційному середовищі; </w:t>
            </w:r>
          </w:p>
          <w:p w14:paraId="C8F431F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критичне ставлення до медійної інформації.</w:t>
            </w:r>
          </w:p>
        </w:tc>
      </w:tr>
      <w:tr w14:paraId="051ECD93">
        <w:tblPrEx/>
        <w:trPr/>
        <w:tc>
          <w:tcPr>
            <w:tcW w:w="759" w:type="dxa"/>
            <w:tcBorders/>
          </w:tcPr>
          <w:p w14:paraId="5C2AA72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6.</w:t>
            </w:r>
          </w:p>
        </w:tc>
        <w:tc>
          <w:tcPr>
            <w:tcW w:w="3064" w:type="dxa"/>
            <w:tcBorders/>
          </w:tcPr>
          <w:p w14:paraId="6C73C74F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Уміння вчитися впродовж життя</w:t>
            </w:r>
          </w:p>
        </w:tc>
        <w:tc>
          <w:tcPr>
            <w:tcW w:w="5522" w:type="dxa"/>
            <w:tcBorders/>
          </w:tcPr>
          <w:p w14:paraId="D92A74A6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00A2FF4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визначати мету і цілі власної діяльності й розвитку, планувати й організовувати їх, здійснювати задумане, рефлексувати й оцінювати результат; </w:t>
            </w:r>
          </w:p>
          <w:p w14:paraId="9E63BB5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використовувати різноманітні стратегії навчання; – користуватися різними джерелами інформації;</w:t>
            </w:r>
          </w:p>
          <w:p w14:paraId="F180532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знаходити, аналізувати, систематизувати й узагальнювати одержану інформацію, перетворювати її з однієї знакової системи в іншу; </w:t>
            </w:r>
          </w:p>
          <w:p w14:paraId="8CE80CE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працювати в парі, групі; </w:t>
            </w:r>
          </w:p>
          <w:p w14:paraId="3B03930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читати, використовуючи різні види читання: ознайомлювальне, вибіркове, навчальне тощо; </w:t>
            </w:r>
          </w:p>
          <w:p w14:paraId="F40D9548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постійно поповнювати власний словниковий запас; </w:t>
            </w:r>
          </w:p>
          <w:p w14:paraId="EF88AC0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застосовувати комунікативні стратегії відповідно до мети й ситуації спілкування. </w:t>
            </w:r>
          </w:p>
          <w:p w14:paraId="5DFF40C5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942D398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прагнення</w:t>
            </w:r>
            <w:r>
              <w:t xml:space="preserve"> використовувати здобуті навчики</w:t>
            </w:r>
            <w:r>
              <w:t xml:space="preserve"> в різних життєвих ситуаціях</w:t>
            </w:r>
            <w:r>
              <w:t>, зокрема, в за кризових обставин</w:t>
            </w:r>
            <w:r>
              <w:t xml:space="preserve">; </w:t>
            </w:r>
          </w:p>
          <w:p w14:paraId="EE659D8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готовність</w:t>
            </w:r>
            <w:r>
              <w:t xml:space="preserve"> удосконалювати навички </w:t>
            </w:r>
            <w:r>
              <w:t>впродовж</w:t>
            </w:r>
            <w:r>
              <w:t xml:space="preserve"> життя, допомагати і підтримувати інших</w:t>
            </w:r>
            <w:r>
              <w:t>;</w:t>
            </w:r>
          </w:p>
          <w:p w14:paraId="083C96D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розуміння потреби знань для оборонно стійкості держави</w:t>
            </w:r>
            <w:r>
              <w:t>.</w:t>
            </w:r>
          </w:p>
        </w:tc>
      </w:tr>
      <w:tr w14:paraId="0C594FEF">
        <w:tblPrEx/>
        <w:trPr/>
        <w:tc>
          <w:tcPr>
            <w:tcW w:w="759" w:type="dxa"/>
            <w:tcBorders/>
          </w:tcPr>
          <w:p w14:paraId="FA44EE59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7.</w:t>
            </w:r>
          </w:p>
        </w:tc>
        <w:tc>
          <w:tcPr>
            <w:tcW w:w="3064" w:type="dxa"/>
            <w:tcBorders/>
          </w:tcPr>
          <w:p w14:paraId="A244F70E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Ініціативність і підприємливість</w:t>
            </w:r>
          </w:p>
        </w:tc>
        <w:tc>
          <w:tcPr>
            <w:tcW w:w="5522" w:type="dxa"/>
            <w:tcBorders/>
          </w:tcPr>
          <w:p w14:paraId="AD03228F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985F344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аналізувати життєву ситуацію з певної позиції; </w:t>
            </w:r>
          </w:p>
          <w:p w14:paraId="AFD1E25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презентувати власні ідеї та ініціативи чітко, грамотно, використовуючи доцільні мовні засоби; </w:t>
            </w:r>
          </w:p>
          <w:p w14:paraId="41BA789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використовувати комунікативні стратегії для формулювання власних пропозицій, рішень і виявлення лідерських якостей. </w:t>
            </w:r>
          </w:p>
          <w:p w14:paraId="94ACAD6F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Ставлення: </w:t>
            </w:r>
          </w:p>
          <w:p w14:paraId="1671D00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готовність брати відповідальність за себе та інших; </w:t>
            </w:r>
          </w:p>
          <w:p w14:paraId="40A4D94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розуміння ролі комунікативних умінь для успішної професійної кар’єри.</w:t>
            </w:r>
          </w:p>
        </w:tc>
      </w:tr>
      <w:tr w14:paraId="FEF97FB5">
        <w:tblPrEx/>
        <w:trPr/>
        <w:tc>
          <w:tcPr>
            <w:tcW w:w="759" w:type="dxa"/>
            <w:tcBorders/>
          </w:tcPr>
          <w:p w14:paraId="7DC8A7D5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8.</w:t>
            </w:r>
          </w:p>
        </w:tc>
        <w:tc>
          <w:tcPr>
            <w:tcW w:w="3064" w:type="dxa"/>
            <w:tcBorders/>
          </w:tcPr>
          <w:p w14:paraId="367EE257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Соціальна та громадянська компетентності</w:t>
            </w:r>
          </w:p>
        </w:tc>
        <w:tc>
          <w:tcPr>
            <w:tcW w:w="5522" w:type="dxa"/>
            <w:tcBorders/>
          </w:tcPr>
          <w:p w14:paraId="66EED76A">
            <w:pPr>
              <w:pStyle w:val="style94"/>
              <w:spacing w:before="0" w:beforeAutospacing="false" w:after="0" w:afterAutospacing="false" w:lineRule="auto" w:line="276"/>
              <w:jc w:val="both"/>
              <w:rPr>
                <w:i/>
              </w:rPr>
            </w:pPr>
            <w:r>
              <w:rPr>
                <w:i/>
              </w:rPr>
              <w:t xml:space="preserve">Уміння: </w:t>
            </w:r>
          </w:p>
          <w:p w14:paraId="8ACCFDD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висловлювати свою громадянську позиції</w:t>
            </w:r>
            <w:r>
              <w:t xml:space="preserve">; </w:t>
            </w:r>
          </w:p>
          <w:p w14:paraId="5B423294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розрізняти маніпулятивні технології і протистояти їм; </w:t>
            </w:r>
          </w:p>
          <w:p w14:paraId="2A93253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аргументовано й грамотно висловлюв</w:t>
            </w:r>
            <w:r>
              <w:t>ати власну думку щодо суспільно-</w:t>
            </w:r>
            <w:r>
              <w:t xml:space="preserve">політичних питань; </w:t>
            </w:r>
          </w:p>
          <w:p w14:paraId="6BDD935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уникати дискримінації інших у процесі спілкування; </w:t>
            </w:r>
          </w:p>
          <w:p w14:paraId="848FAA6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критично оцінювати тексти соціально-політичного змісту. </w:t>
            </w:r>
          </w:p>
          <w:p w14:paraId="1F2B133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644A39A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повага до різних поглядів, ідей, вірувань; </w:t>
            </w:r>
          </w:p>
          <w:p w14:paraId="EA30B659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здатність співчувати, довіряти й викликати довіру; – поцінування людської гідності; </w:t>
            </w:r>
          </w:p>
          <w:p w14:paraId="BD181DA7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повага до закону та правових норм;</w:t>
            </w:r>
          </w:p>
          <w:p w14:paraId="62F061C2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 – утвердження права кожного на власну думку.</w:t>
            </w:r>
          </w:p>
        </w:tc>
      </w:tr>
      <w:tr w14:paraId="88B6C928">
        <w:tblPrEx/>
        <w:trPr/>
        <w:tc>
          <w:tcPr>
            <w:tcW w:w="759" w:type="dxa"/>
            <w:tcBorders/>
          </w:tcPr>
          <w:p w14:paraId="403B434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9.</w:t>
            </w:r>
          </w:p>
        </w:tc>
        <w:tc>
          <w:tcPr>
            <w:tcW w:w="3064" w:type="dxa"/>
            <w:tcBorders/>
          </w:tcPr>
          <w:p w14:paraId="49763630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Обізнаність та самовираження у сфері культури</w:t>
            </w:r>
          </w:p>
        </w:tc>
        <w:tc>
          <w:tcPr>
            <w:tcW w:w="5522" w:type="dxa"/>
            <w:tcBorders/>
          </w:tcPr>
          <w:p w14:paraId="3B09CDAF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Уміння:</w:t>
            </w:r>
            <w:r>
              <w:t xml:space="preserve"> </w:t>
            </w:r>
          </w:p>
          <w:p w14:paraId="E7F39C0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зіставляти специфіку розкриття певної теми (образу) в різних видах мистецтва; </w:t>
            </w:r>
          </w:p>
          <w:p w14:paraId="BB7C5C5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ідентифікувати себе як представника певної культури; </w:t>
            </w:r>
          </w:p>
          <w:p w14:paraId="2027A95C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визначати роль і місце української культури у світовому контексті; </w:t>
            </w:r>
          </w:p>
          <w:p w14:paraId="6F84E24E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читати літературні твори, використовувати досвід взаємодії з творами мистецтва в життєвих ситуаціях; </w:t>
            </w:r>
          </w:p>
          <w:p w14:paraId="A2038B3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створювати тексти, висловлюючи власні ідеї, спираючись на досвід і почуття та використовуючи </w:t>
            </w:r>
            <w:r>
              <w:t xml:space="preserve">відповідні зображувально-виражальні засоби. </w:t>
            </w: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4F8B1A6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здатність до національного спротиву та захисту незалежності держави</w:t>
            </w:r>
            <w:r>
              <w:t xml:space="preserve">; </w:t>
            </w:r>
          </w:p>
          <w:p w14:paraId="222CE863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усвідомлення норма міжнародного права та потреби його неухильного дотримання</w:t>
            </w:r>
            <w:r>
              <w:t xml:space="preserve">; </w:t>
            </w:r>
          </w:p>
          <w:p w14:paraId="39B9BCFB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уміння співдіяти з іншими громадянами за кризових обставин.</w:t>
            </w:r>
          </w:p>
        </w:tc>
      </w:tr>
      <w:tr w14:paraId="42B7287F">
        <w:tblPrEx/>
        <w:trPr/>
        <w:tc>
          <w:tcPr>
            <w:tcW w:w="759" w:type="dxa"/>
            <w:tcBorders/>
          </w:tcPr>
          <w:p w14:paraId="3FB1EAD9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10</w:t>
            </w:r>
          </w:p>
        </w:tc>
        <w:tc>
          <w:tcPr>
            <w:tcW w:w="3064" w:type="dxa"/>
            <w:tcBorders/>
          </w:tcPr>
          <w:p w14:paraId="92B5B436">
            <w:pPr>
              <w:pStyle w:val="style94"/>
              <w:spacing w:before="0" w:beforeAutospacing="false" w:after="0" w:afterAutospacing="false" w:lineRule="auto" w:line="276"/>
              <w:jc w:val="center"/>
              <w:rPr>
                <w:b/>
              </w:rPr>
            </w:pPr>
            <w:r>
              <w:rPr>
                <w:b/>
              </w:rPr>
              <w:t>Екологічна грамотність і здорове життя</w:t>
            </w:r>
          </w:p>
        </w:tc>
        <w:tc>
          <w:tcPr>
            <w:tcW w:w="5522" w:type="dxa"/>
            <w:tcBorders/>
          </w:tcPr>
          <w:p w14:paraId="439DD78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rPr>
                <w:i/>
              </w:rPr>
              <w:t>Уміння:</w:t>
            </w:r>
            <w:r>
              <w:t xml:space="preserve"> </w:t>
            </w:r>
          </w:p>
          <w:p w14:paraId="660B05CD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-дбати про природу та її ресурси</w:t>
            </w:r>
            <w:r>
              <w:t xml:space="preserve">; </w:t>
            </w:r>
          </w:p>
          <w:p w14:paraId="11F7BF71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бережливо ставитися до природи як важливого чинника реалізації особистості; </w:t>
            </w:r>
          </w:p>
          <w:p w14:paraId="D9F7FCF6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 xml:space="preserve">– розуміти переваги здорового способу життя. </w:t>
            </w:r>
            <w:r>
              <w:rPr>
                <w:i/>
              </w:rPr>
              <w:t>Ставлення:</w:t>
            </w:r>
            <w:r>
              <w:t xml:space="preserve"> </w:t>
            </w:r>
          </w:p>
          <w:p w14:paraId="2EBB6D3A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усвідомлення людини як частини природи, незворотності покара</w:t>
            </w:r>
            <w:r>
              <w:t>ння за зло, причинене довкіллю</w:t>
            </w:r>
            <w:r>
              <w:t xml:space="preserve">; </w:t>
            </w:r>
          </w:p>
          <w:p w14:paraId="15A7CCF0">
            <w:pPr>
              <w:pStyle w:val="style94"/>
              <w:spacing w:before="0" w:beforeAutospacing="false" w:after="0" w:afterAutospacing="false" w:lineRule="auto" w:line="276"/>
              <w:jc w:val="both"/>
              <w:rPr/>
            </w:pPr>
            <w:r>
              <w:t>– готовність зберігати природні ресурси для сьогодення та майбутнього.</w:t>
            </w:r>
          </w:p>
        </w:tc>
      </w:tr>
    </w:tbl>
    <w:p w14:paraId="6FFEED73">
      <w:pPr>
        <w:pStyle w:val="style94"/>
        <w:spacing w:before="0" w:beforeAutospacing="false" w:after="0" w:afterAutospacing="false" w:lineRule="auto" w:line="276"/>
        <w:jc w:val="both"/>
        <w:rPr>
          <w:color w:val="000000"/>
        </w:rPr>
      </w:pPr>
      <w:r>
        <w:t xml:space="preserve">Супутні навчальні предмети </w:t>
      </w:r>
      <w:r>
        <w:t>та дисципліни – «Захист України</w:t>
      </w:r>
      <w:r>
        <w:t xml:space="preserve">», </w:t>
      </w:r>
      <w:r>
        <w:t>«Історія», «Громадянська освіта</w:t>
      </w:r>
      <w:r>
        <w:t>», «Основи інформатики», «Інформаційні системи і технології», «Основи екології», «Іноземна мова», «Географія», «Економіка», «Людина і світ», «Безпека життєдіяльності»,</w:t>
      </w:r>
      <w:r>
        <w:t xml:space="preserve"> «Математика</w:t>
      </w:r>
      <w:r>
        <w:t>»</w:t>
      </w:r>
      <w:r>
        <w:t>, «Вища математика»</w:t>
      </w:r>
      <w:r>
        <w:t xml:space="preserve"> та ін.</w:t>
      </w:r>
    </w:p>
    <w:p w14:paraId="66D3228F">
      <w:pPr>
        <w:pStyle w:val="style94"/>
        <w:spacing w:before="0" w:beforeAutospacing="false" w:after="0" w:afterAutospacing="false" w:lineRule="auto" w:line="276"/>
        <w:ind w:firstLine="709"/>
        <w:jc w:val="both"/>
        <w:rPr>
          <w:color w:val="000000"/>
        </w:rPr>
      </w:pPr>
    </w:p>
    <w:p w14:paraId="45B0C5E8">
      <w:pPr>
        <w:pStyle w:val="style94"/>
        <w:spacing w:before="0" w:beforeAutospacing="false" w:after="0" w:afterAutospacing="false" w:lineRule="auto" w:line="276"/>
        <w:ind w:firstLine="709"/>
        <w:jc w:val="both"/>
        <w:rPr>
          <w:color w:val="000000"/>
        </w:rPr>
      </w:pPr>
    </w:p>
    <w:p w14:paraId="5A53ED6D">
      <w:pPr>
        <w:pStyle w:val="style94"/>
        <w:spacing w:before="0" w:beforeAutospacing="false" w:after="0" w:afterAutospacing="false" w:lineRule="auto" w:line="276"/>
        <w:ind w:firstLine="709"/>
        <w:jc w:val="both"/>
        <w:rPr>
          <w:color w:val="000000"/>
        </w:rPr>
      </w:pPr>
    </w:p>
    <w:p w14:paraId="893B86CB">
      <w:pPr>
        <w:pStyle w:val="style94"/>
        <w:rPr>
          <w:color w:val="000000"/>
        </w:rPr>
        <w:sectPr>
          <w:pgSz w:w="11906" w:h="16838" w:orient="portrait"/>
          <w:pgMar w:top="709" w:right="850" w:bottom="851" w:left="1701" w:header="708" w:footer="708" w:gutter="0"/>
          <w:cols w:space="708"/>
          <w:docGrid w:linePitch="360"/>
        </w:sectPr>
      </w:pPr>
    </w:p>
    <w:p w14:paraId="93F43DF7">
      <w:pPr>
        <w:pStyle w:val="style9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</w:t>
      </w:r>
      <w:r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>. Структура навчальної дисципліни</w:t>
      </w:r>
    </w:p>
    <w:tbl>
      <w:tblPr>
        <w:tblStyle w:val="style154"/>
        <w:tblW w:w="9768" w:type="dxa"/>
        <w:tblLook w:val="04A0" w:firstRow="1" w:lastRow="0" w:firstColumn="1" w:lastColumn="0" w:noHBand="0" w:noVBand="1"/>
      </w:tblPr>
      <w:tblGrid>
        <w:gridCol w:w="5268"/>
        <w:gridCol w:w="1081"/>
        <w:gridCol w:w="667"/>
        <w:gridCol w:w="539"/>
        <w:gridCol w:w="843"/>
        <w:gridCol w:w="635"/>
        <w:gridCol w:w="736"/>
      </w:tblGrid>
      <w:tr w14:paraId="FC1C88E2">
        <w:trPr/>
        <w:tc>
          <w:tcPr>
            <w:tcW w:w="5456" w:type="dxa"/>
            <w:vMerge w:val="restart"/>
            <w:tcBorders/>
          </w:tcPr>
          <w:p w14:paraId="8200192A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Назва модулів і тем</w:t>
            </w:r>
          </w:p>
        </w:tc>
        <w:tc>
          <w:tcPr>
            <w:tcW w:w="4312" w:type="dxa"/>
            <w:gridSpan w:val="6"/>
            <w:tcBorders/>
          </w:tcPr>
          <w:p w14:paraId="6B2CCA8B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Кількість годин</w:t>
            </w:r>
          </w:p>
        </w:tc>
      </w:tr>
      <w:tr w14:paraId="E592CE55">
        <w:tblPrEx/>
        <w:trPr/>
        <w:tc>
          <w:tcPr>
            <w:tcW w:w="5456" w:type="dxa"/>
            <w:vMerge w:val="continue"/>
            <w:tcBorders/>
          </w:tcPr>
          <w:p w14:paraId="A2AF8BA9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 w:val="restart"/>
            <w:tcBorders/>
            <w:vAlign w:val="center"/>
          </w:tcPr>
          <w:p w14:paraId="DBEEDB72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3309" w:type="dxa"/>
            <w:gridSpan w:val="5"/>
            <w:tcBorders/>
            <w:vAlign w:val="center"/>
          </w:tcPr>
          <w:p w14:paraId="EBECBE2B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 тому числі</w:t>
            </w:r>
          </w:p>
        </w:tc>
      </w:tr>
      <w:tr w14:paraId="70748C49">
        <w:tblPrEx/>
        <w:trPr/>
        <w:tc>
          <w:tcPr>
            <w:tcW w:w="5456" w:type="dxa"/>
            <w:vMerge w:val="continue"/>
            <w:tcBorders/>
          </w:tcPr>
          <w:p w14:paraId="E257F39F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 w:val="continue"/>
            <w:tcBorders/>
            <w:vAlign w:val="center"/>
          </w:tcPr>
          <w:p w14:paraId="8436F226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23" w:type="dxa"/>
            <w:tcBorders/>
            <w:vAlign w:val="center"/>
          </w:tcPr>
          <w:p w14:paraId="AFA02567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ауд</w:t>
            </w:r>
          </w:p>
        </w:tc>
        <w:tc>
          <w:tcPr>
            <w:tcW w:w="539" w:type="dxa"/>
            <w:tcBorders/>
            <w:vAlign w:val="center"/>
          </w:tcPr>
          <w:p w14:paraId="7FF38526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</w:t>
            </w:r>
          </w:p>
        </w:tc>
        <w:tc>
          <w:tcPr>
            <w:tcW w:w="766" w:type="dxa"/>
            <w:tcBorders/>
            <w:vAlign w:val="center"/>
          </w:tcPr>
          <w:p w14:paraId="17FAA15F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лекц</w:t>
            </w:r>
          </w:p>
        </w:tc>
        <w:tc>
          <w:tcPr>
            <w:tcW w:w="637" w:type="dxa"/>
            <w:tcBorders/>
            <w:vAlign w:val="center"/>
          </w:tcPr>
          <w:p w14:paraId="AACC9FD9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інд</w:t>
            </w:r>
          </w:p>
        </w:tc>
        <w:tc>
          <w:tcPr>
            <w:tcW w:w="744" w:type="dxa"/>
            <w:tcBorders/>
            <w:vAlign w:val="center"/>
          </w:tcPr>
          <w:p w14:paraId="0438D42E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с.р.</w:t>
            </w:r>
          </w:p>
        </w:tc>
      </w:tr>
      <w:tr w14:paraId="5A74F0B4">
        <w:tblPrEx/>
        <w:trPr/>
        <w:tc>
          <w:tcPr>
            <w:tcW w:w="5456" w:type="dxa"/>
            <w:tcBorders/>
            <w:vAlign w:val="center"/>
          </w:tcPr>
          <w:p w14:paraId="EBA471F0">
            <w:pPr>
              <w:pStyle w:val="style0"/>
              <w:rPr/>
            </w:pPr>
            <w:r>
              <w:t>Модуль</w:t>
            </w:r>
            <w:r>
              <w:t xml:space="preserve"> 1.</w:t>
            </w:r>
            <w:r>
              <w:t xml:space="preserve"> Вст</w:t>
            </w:r>
            <w:r>
              <w:t>уп. Національний спротив</w:t>
            </w:r>
            <w:r>
              <w:t>.</w:t>
            </w:r>
            <w:r>
              <w:t xml:space="preserve"> Міжнародне  гуманітарне право.</w:t>
            </w:r>
            <w:r>
              <w:t xml:space="preserve"> </w:t>
            </w:r>
            <w:r>
              <w:t>Психологічна підготовка та стійкість</w:t>
            </w:r>
          </w:p>
        </w:tc>
        <w:tc>
          <w:tcPr>
            <w:tcW w:w="1003" w:type="dxa"/>
            <w:tcBorders/>
          </w:tcPr>
          <w:p w14:paraId="1B3A6CD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623" w:type="dxa"/>
            <w:tcBorders/>
          </w:tcPr>
          <w:p w14:paraId="84C8C9EE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39" w:type="dxa"/>
            <w:tcBorders/>
          </w:tcPr>
          <w:p w14:paraId="9671E415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66" w:type="dxa"/>
            <w:tcBorders/>
          </w:tcPr>
          <w:p w14:paraId="E2E52CCD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37" w:type="dxa"/>
            <w:tcBorders/>
          </w:tcPr>
          <w:p w14:paraId="FAC2712C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75468054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3978C24D">
        <w:tblPrEx/>
        <w:trPr/>
        <w:tc>
          <w:tcPr>
            <w:tcW w:w="5456" w:type="dxa"/>
            <w:tcBorders/>
            <w:vAlign w:val="center"/>
          </w:tcPr>
          <w:p w14:paraId="F2D99F5E">
            <w:pPr>
              <w:pStyle w:val="style0"/>
              <w:rPr/>
            </w:pPr>
            <w:r>
              <w:t>Модуль 2.</w:t>
            </w:r>
            <w:r>
              <w:t xml:space="preserve"> </w:t>
            </w:r>
            <w:bookmarkStart w:id="0" w:name="_GoBack"/>
            <w:bookmarkEnd w:id="0"/>
            <w:r>
              <w:t xml:space="preserve"> </w:t>
            </w:r>
            <w:r>
              <w:t>Домедична підготовка</w:t>
            </w:r>
            <w:r>
              <w:t xml:space="preserve">. </w:t>
            </w:r>
          </w:p>
        </w:tc>
        <w:tc>
          <w:tcPr>
            <w:tcW w:w="1003" w:type="dxa"/>
            <w:tcBorders/>
          </w:tcPr>
          <w:p w14:paraId="5E14DD6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623" w:type="dxa"/>
            <w:tcBorders/>
          </w:tcPr>
          <w:p w14:paraId="E046BFCF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" w:type="dxa"/>
            <w:tcBorders/>
          </w:tcPr>
          <w:p w14:paraId="5D656AD9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766" w:type="dxa"/>
            <w:tcBorders/>
          </w:tcPr>
          <w:p w14:paraId="82F88A9A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37" w:type="dxa"/>
            <w:tcBorders/>
          </w:tcPr>
          <w:p w14:paraId="0DC2F390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D93BB0A2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E5331B7D">
        <w:tblPrEx/>
        <w:trPr/>
        <w:tc>
          <w:tcPr>
            <w:tcW w:w="5456" w:type="dxa"/>
            <w:tcBorders/>
            <w:vAlign w:val="center"/>
          </w:tcPr>
          <w:p w14:paraId="B9B0659C">
            <w:pPr>
              <w:pStyle w:val="style0"/>
              <w:rPr/>
            </w:pPr>
            <w:r>
              <w:rPr>
                <w:lang w:val="ru-RU"/>
              </w:rPr>
              <w:t>Модуль</w:t>
            </w:r>
            <w:r>
              <w:t xml:space="preserve"> 3. Військова топографія</w:t>
            </w:r>
            <w:r>
              <w:t>, Навігація і орієнтування на місцевості</w:t>
            </w:r>
            <w:r>
              <w:t>. Зв'язок</w:t>
            </w:r>
            <w:r>
              <w:t xml:space="preserve"> та </w:t>
            </w:r>
            <w:r>
              <w:t xml:space="preserve"> передавання інформації.</w:t>
            </w:r>
            <w:r>
              <w:t xml:space="preserve"> Зброя масового ураження</w:t>
            </w:r>
          </w:p>
        </w:tc>
        <w:tc>
          <w:tcPr>
            <w:tcW w:w="1003" w:type="dxa"/>
            <w:tcBorders/>
          </w:tcPr>
          <w:p w14:paraId="9D3C0556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623" w:type="dxa"/>
            <w:tcBorders/>
          </w:tcPr>
          <w:p w14:paraId="D0D49AC9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" w:type="dxa"/>
            <w:tcBorders/>
          </w:tcPr>
          <w:p w14:paraId="3E6CAE1F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66" w:type="dxa"/>
            <w:tcBorders/>
          </w:tcPr>
          <w:p w14:paraId="0FE7A136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37" w:type="dxa"/>
            <w:tcBorders/>
          </w:tcPr>
          <w:p w14:paraId="983158F7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D27ED8FE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14:paraId="82963675">
        <w:tblPrEx/>
        <w:trPr/>
        <w:tc>
          <w:tcPr>
            <w:tcW w:w="5456" w:type="dxa"/>
            <w:tcBorders/>
            <w:vAlign w:val="center"/>
          </w:tcPr>
          <w:p w14:paraId="6B0988E8">
            <w:pPr>
              <w:pStyle w:val="style0"/>
              <w:rPr/>
            </w:pPr>
            <w:r>
              <w:t>Моду</w:t>
            </w:r>
            <w:r>
              <w:t xml:space="preserve">ль 4 . </w:t>
            </w:r>
            <w:r>
              <w:t xml:space="preserve"> </w:t>
            </w:r>
            <w:r>
              <w:t>Інженерна підготовка</w:t>
            </w:r>
            <w:r>
              <w:t xml:space="preserve"> та мінна безпека</w:t>
            </w:r>
            <w:r>
              <w:t>. Тактична</w:t>
            </w:r>
            <w:r>
              <w:t xml:space="preserve"> підготовка.</w:t>
            </w:r>
          </w:p>
        </w:tc>
        <w:tc>
          <w:tcPr>
            <w:tcW w:w="1003" w:type="dxa"/>
            <w:tcBorders/>
          </w:tcPr>
          <w:p w14:paraId="40C57558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23" w:type="dxa"/>
            <w:tcBorders/>
          </w:tcPr>
          <w:p w14:paraId="DF4B9645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" w:type="dxa"/>
            <w:tcBorders/>
          </w:tcPr>
          <w:p w14:paraId="BFAD6AE7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66" w:type="dxa"/>
            <w:tcBorders/>
          </w:tcPr>
          <w:p w14:paraId="6DFD5377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37" w:type="dxa"/>
            <w:tcBorders/>
          </w:tcPr>
          <w:p w14:paraId="D5ECD878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E7DF3537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14:paraId="E06E3CF5">
        <w:tblPrEx/>
        <w:trPr/>
        <w:tc>
          <w:tcPr>
            <w:tcW w:w="5456" w:type="dxa"/>
            <w:tcBorders/>
            <w:vAlign w:val="center"/>
          </w:tcPr>
          <w:p w14:paraId="58BAC21E">
            <w:pPr>
              <w:pStyle w:val="style0"/>
              <w:rPr/>
            </w:pPr>
            <w:r>
              <w:rPr>
                <w:lang w:val="ru-RU"/>
              </w:rPr>
              <w:t>М</w:t>
            </w:r>
            <w:r>
              <w:t xml:space="preserve">одуль 5. </w:t>
            </w:r>
            <w:r>
              <w:t xml:space="preserve">Вогнева підготовка. </w:t>
            </w:r>
            <w:r>
              <w:t>Виживання та спеціальна підготовка</w:t>
            </w:r>
          </w:p>
        </w:tc>
        <w:tc>
          <w:tcPr>
            <w:tcW w:w="1003" w:type="dxa"/>
            <w:tcBorders/>
          </w:tcPr>
          <w:p w14:paraId="93486451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23" w:type="dxa"/>
            <w:tcBorders/>
          </w:tcPr>
          <w:p w14:paraId="6CEDB4D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39" w:type="dxa"/>
            <w:tcBorders/>
          </w:tcPr>
          <w:p w14:paraId="8E324300">
            <w:pPr>
              <w:pStyle w:val="style94"/>
              <w:spacing w:lineRule="auto" w:line="36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66" w:type="dxa"/>
            <w:tcBorders/>
          </w:tcPr>
          <w:p w14:paraId="DD0C7644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37" w:type="dxa"/>
            <w:tcBorders/>
          </w:tcPr>
          <w:p w14:paraId="A8E18C23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9FB84924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14:paraId="E5623FF5">
        <w:tblPrEx/>
        <w:trPr/>
        <w:tc>
          <w:tcPr>
            <w:tcW w:w="5456" w:type="dxa"/>
            <w:tcBorders/>
            <w:vAlign w:val="center"/>
          </w:tcPr>
          <w:p w14:paraId="86273E1E">
            <w:pPr>
              <w:pStyle w:val="style0"/>
              <w:rPr/>
            </w:pPr>
            <w:r>
              <w:rPr>
                <w:b/>
              </w:rPr>
              <w:t xml:space="preserve">Разом за </w:t>
            </w:r>
            <w:r>
              <w:rPr>
                <w:b/>
              </w:rPr>
              <w:t xml:space="preserve"> семестр</w:t>
            </w:r>
            <w:r>
              <w:rPr>
                <w:b/>
              </w:rPr>
              <w:t>(90=2</w:t>
            </w:r>
            <w:r>
              <w:rPr>
                <w:b/>
              </w:rPr>
              <w:t>4</w:t>
            </w:r>
            <w:r>
              <w:rPr>
                <w:b/>
              </w:rPr>
              <w:t>+36+30</w:t>
            </w:r>
            <w:r>
              <w:rPr>
                <w:b/>
              </w:rPr>
              <w:t>)</w:t>
            </w:r>
          </w:p>
        </w:tc>
        <w:tc>
          <w:tcPr>
            <w:tcW w:w="1003" w:type="dxa"/>
            <w:tcBorders/>
          </w:tcPr>
          <w:p w14:paraId="6E2B8448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</w:t>
            </w:r>
          </w:p>
        </w:tc>
        <w:tc>
          <w:tcPr>
            <w:tcW w:w="623" w:type="dxa"/>
            <w:tcBorders/>
          </w:tcPr>
          <w:p w14:paraId="0E4DC590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539" w:type="dxa"/>
            <w:tcBorders/>
          </w:tcPr>
          <w:p w14:paraId="EB1CD2B7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766" w:type="dxa"/>
            <w:tcBorders/>
          </w:tcPr>
          <w:p w14:paraId="4C41E3F8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637" w:type="dxa"/>
            <w:tcBorders/>
          </w:tcPr>
          <w:p w14:paraId="D92856AF">
            <w:pPr>
              <w:pStyle w:val="style94"/>
              <w:spacing w:lineRule="auto" w:line="36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4" w:type="dxa"/>
            <w:tcBorders/>
          </w:tcPr>
          <w:p w14:paraId="CCC88AC9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</w:t>
            </w:r>
          </w:p>
        </w:tc>
      </w:tr>
      <w:tr w14:paraId="6576B780">
        <w:tblPrEx/>
        <w:trPr/>
        <w:tc>
          <w:tcPr>
            <w:tcW w:w="5456" w:type="dxa"/>
            <w:tcBorders/>
            <w:vAlign w:val="center"/>
          </w:tcPr>
          <w:p w14:paraId="0B46480E">
            <w:pPr>
              <w:pStyle w:val="style94"/>
              <w:spacing w:lineRule="auto" w:line="36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 по дисципліні</w:t>
            </w:r>
            <w:r>
              <w:rPr>
                <w:b/>
                <w:bCs/>
                <w:color w:val="000000"/>
                <w:sz w:val="28"/>
                <w:szCs w:val="28"/>
              </w:rPr>
              <w:t>(90=24+36+30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003" w:type="dxa"/>
            <w:tcBorders/>
            <w:vAlign w:val="center"/>
          </w:tcPr>
          <w:p w14:paraId="353AA706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90</w:t>
            </w:r>
          </w:p>
        </w:tc>
        <w:tc>
          <w:tcPr>
            <w:tcW w:w="623" w:type="dxa"/>
            <w:tcBorders/>
            <w:vAlign w:val="center"/>
          </w:tcPr>
          <w:p w14:paraId="6BB628DE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39" w:type="dxa"/>
            <w:tcBorders/>
            <w:vAlign w:val="center"/>
          </w:tcPr>
          <w:p w14:paraId="D33D61A0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66" w:type="dxa"/>
            <w:tcBorders/>
            <w:vAlign w:val="center"/>
          </w:tcPr>
          <w:p w14:paraId="F59A0781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37" w:type="dxa"/>
            <w:tcBorders/>
            <w:vAlign w:val="center"/>
          </w:tcPr>
          <w:p w14:paraId="991F6788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4" w:type="dxa"/>
            <w:tcBorders/>
            <w:vAlign w:val="center"/>
          </w:tcPr>
          <w:p w14:paraId="D84781DD">
            <w:pPr>
              <w:pStyle w:val="style94"/>
              <w:spacing w:lineRule="auto" w:line="36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D0EC65E1">
      <w:pPr>
        <w:pStyle w:val="style0"/>
        <w:spacing w:after="200" w:lineRule="auto" w:line="276"/>
        <w:rPr>
          <w:bCs/>
          <w:color w:val="000000"/>
        </w:rPr>
      </w:pPr>
      <w:r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>. Теми аудиторних занять</w:t>
      </w:r>
    </w:p>
    <w:tbl>
      <w:tblPr>
        <w:tblStyle w:val="style154"/>
        <w:tblW w:w="957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1697"/>
        <w:gridCol w:w="571"/>
        <w:gridCol w:w="6769"/>
      </w:tblGrid>
      <w:tr w14:paraId="6E0F0CB8">
        <w:trPr>
          <w:cantSplit/>
          <w:trHeight w:val="853" w:hRule="atLeast"/>
          <w:tblHeader/>
        </w:trPr>
        <w:tc>
          <w:tcPr>
            <w:tcW w:w="534" w:type="dxa"/>
            <w:tcBorders/>
          </w:tcPr>
          <w:p w14:paraId="AFBD6B6E">
            <w:pPr>
              <w:pStyle w:val="style94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 з/п</w:t>
            </w:r>
          </w:p>
        </w:tc>
        <w:tc>
          <w:tcPr>
            <w:tcW w:w="1697" w:type="dxa"/>
            <w:tcBorders/>
            <w:vAlign w:val="center"/>
          </w:tcPr>
          <w:p w14:paraId="6E845E5B">
            <w:pPr>
              <w:pStyle w:val="style94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Форма заняття</w:t>
            </w:r>
          </w:p>
        </w:tc>
        <w:tc>
          <w:tcPr>
            <w:tcW w:w="571" w:type="dxa"/>
            <w:tcBorders/>
            <w:textDirection w:val="btLr"/>
          </w:tcPr>
          <w:p w14:paraId="B12F8BCB">
            <w:pPr>
              <w:pStyle w:val="style94"/>
              <w:ind w:left="113" w:right="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Обсяг годин</w:t>
            </w:r>
          </w:p>
        </w:tc>
        <w:tc>
          <w:tcPr>
            <w:tcW w:w="6769" w:type="dxa"/>
            <w:tcBorders/>
            <w:vAlign w:val="center"/>
          </w:tcPr>
          <w:p w14:paraId="5D81B13A">
            <w:pPr>
              <w:pStyle w:val="style94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Зміст заняття</w:t>
            </w:r>
          </w:p>
        </w:tc>
      </w:tr>
      <w:tr w14:paraId="23CD6EC6">
        <w:tblPrEx/>
        <w:trPr/>
        <w:tc>
          <w:tcPr>
            <w:tcW w:w="9571" w:type="dxa"/>
            <w:gridSpan w:val="4"/>
            <w:tcBorders/>
          </w:tcPr>
          <w:p w14:paraId="6C42BC95">
            <w:pPr>
              <w:pStyle w:val="style94"/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Модуль 1. Вст</w:t>
            </w:r>
            <w:r>
              <w:rPr>
                <w:b/>
              </w:rPr>
              <w:t>уп. Національний спротив</w:t>
            </w:r>
            <w:r>
              <w:rPr>
                <w:b/>
              </w:rPr>
              <w:t>.</w:t>
            </w:r>
            <w:r>
              <w:rPr>
                <w:b/>
              </w:rPr>
              <w:t xml:space="preserve"> Психологічна підготовка та стійкість</w:t>
            </w:r>
          </w:p>
        </w:tc>
      </w:tr>
      <w:tr w14:paraId="2970406B">
        <w:tblPrEx/>
        <w:trPr/>
        <w:tc>
          <w:tcPr>
            <w:tcW w:w="534" w:type="dxa"/>
            <w:tcBorders/>
            <w:vAlign w:val="center"/>
          </w:tcPr>
          <w:p w14:paraId="9ED973ED">
            <w:pPr>
              <w:pStyle w:val="style0"/>
              <w:jc w:val="both"/>
              <w:rPr/>
            </w:pPr>
            <w:r>
              <w:t>1</w:t>
            </w:r>
          </w:p>
        </w:tc>
        <w:tc>
          <w:tcPr>
            <w:tcW w:w="1697" w:type="dxa"/>
            <w:tcBorders/>
            <w:vAlign w:val="center"/>
          </w:tcPr>
          <w:p w14:paraId="28B4DCD6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50228B77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63F4C921">
            <w:pPr>
              <w:pStyle w:val="style0"/>
              <w:jc w:val="both"/>
              <w:rPr/>
            </w:pPr>
            <w:r>
              <w:t xml:space="preserve">Вступ. </w:t>
            </w:r>
            <w:r>
              <w:t>Мета та завдання дисципліни. Правові засади. Шляхи становлення нації.  Історичний досвід української самоорганізації національного спротиву в умовах збройної агресії та окупаційного тиску.</w:t>
            </w:r>
          </w:p>
        </w:tc>
      </w:tr>
      <w:tr w14:paraId="8F6D9DA7">
        <w:tblPrEx/>
        <w:trPr/>
        <w:tc>
          <w:tcPr>
            <w:tcW w:w="534" w:type="dxa"/>
            <w:tcBorders/>
            <w:vAlign w:val="center"/>
          </w:tcPr>
          <w:p w14:paraId="BD14EE73">
            <w:pPr>
              <w:pStyle w:val="style0"/>
              <w:jc w:val="both"/>
              <w:rPr/>
            </w:pPr>
            <w:r>
              <w:t>2</w:t>
            </w:r>
          </w:p>
        </w:tc>
        <w:tc>
          <w:tcPr>
            <w:tcW w:w="1697" w:type="dxa"/>
            <w:tcBorders/>
            <w:vAlign w:val="center"/>
          </w:tcPr>
          <w:p w14:paraId="2A36A5F1">
            <w:pPr>
              <w:pStyle w:val="style0"/>
              <w:jc w:val="center"/>
              <w:rPr/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4B2B5790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AB758DDE">
            <w:pPr>
              <w:pStyle w:val="style0"/>
              <w:jc w:val="both"/>
              <w:rPr/>
            </w:pPr>
            <w:r>
              <w:t>Формування національної ідентичності. Б</w:t>
            </w:r>
            <w:r>
              <w:t>ойовий шлях українського війська</w:t>
            </w:r>
            <w:r>
              <w:t>. Перспективи розвитку держави.</w:t>
            </w:r>
          </w:p>
        </w:tc>
      </w:tr>
      <w:tr w14:paraId="CE683D9E">
        <w:tblPrEx/>
        <w:trPr/>
        <w:tc>
          <w:tcPr>
            <w:tcW w:w="534" w:type="dxa"/>
            <w:tcBorders/>
            <w:vAlign w:val="center"/>
          </w:tcPr>
          <w:p w14:paraId="F952EC2A">
            <w:pPr>
              <w:pStyle w:val="style0"/>
              <w:jc w:val="both"/>
              <w:rPr/>
            </w:pPr>
            <w:r>
              <w:t>3</w:t>
            </w:r>
          </w:p>
        </w:tc>
        <w:tc>
          <w:tcPr>
            <w:tcW w:w="1697" w:type="dxa"/>
            <w:tcBorders/>
            <w:vAlign w:val="center"/>
          </w:tcPr>
          <w:p w14:paraId="FA628CEA">
            <w:pPr>
              <w:pStyle w:val="style0"/>
              <w:jc w:val="center"/>
              <w:rPr/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BB1B306F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B202AA84">
            <w:pPr>
              <w:pStyle w:val="style0"/>
              <w:jc w:val="both"/>
              <w:rPr/>
            </w:pPr>
            <w:r>
              <w:t>Міжнародне гуманітарне право. Основні принципи, правила ведення війни. Правовий статус учасників збройних конфліктів. Поняття комбатанти і некомбатанти. Захист жертв збройної агресії. Військовополонені, інтерновані особи та їх правовий статус.</w:t>
            </w:r>
          </w:p>
        </w:tc>
      </w:tr>
      <w:tr w14:paraId="C590E25A">
        <w:tblPrEx/>
        <w:trPr/>
        <w:tc>
          <w:tcPr>
            <w:tcW w:w="534" w:type="dxa"/>
            <w:tcBorders/>
            <w:vAlign w:val="center"/>
          </w:tcPr>
          <w:p w14:paraId="331919AD">
            <w:pPr>
              <w:pStyle w:val="style0"/>
              <w:jc w:val="both"/>
              <w:rPr/>
            </w:pPr>
            <w:r>
              <w:t>4.</w:t>
            </w:r>
          </w:p>
        </w:tc>
        <w:tc>
          <w:tcPr>
            <w:tcW w:w="1697" w:type="dxa"/>
            <w:tcBorders/>
            <w:vAlign w:val="center"/>
          </w:tcPr>
          <w:p w14:paraId="6F018275">
            <w:pPr>
              <w:pStyle w:val="style0"/>
              <w:jc w:val="center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BDDEB373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D853601D">
            <w:pPr>
              <w:pStyle w:val="style0"/>
              <w:jc w:val="both"/>
              <w:rPr/>
            </w:pPr>
            <w:r>
              <w:t>Психологічна підготовка та стійкість. Прийоми та методи саморегуляції психіки. Вплив стресових факторів. Алгоритм подолання страху та панічних реакцій. Особливості застосування противником ІПСО.</w:t>
            </w:r>
          </w:p>
        </w:tc>
      </w:tr>
      <w:tr w14:paraId="6FE60F34">
        <w:tblPrEx/>
        <w:trPr/>
        <w:tc>
          <w:tcPr>
            <w:tcW w:w="534" w:type="dxa"/>
            <w:tcBorders/>
            <w:vAlign w:val="center"/>
          </w:tcPr>
          <w:p w14:paraId="45A91369">
            <w:pPr>
              <w:pStyle w:val="style0"/>
              <w:jc w:val="both"/>
              <w:rPr/>
            </w:pPr>
            <w:r>
              <w:t>5.</w:t>
            </w:r>
          </w:p>
        </w:tc>
        <w:tc>
          <w:tcPr>
            <w:tcW w:w="1697" w:type="dxa"/>
            <w:tcBorders/>
            <w:vAlign w:val="center"/>
          </w:tcPr>
          <w:p w14:paraId="18F03EF6">
            <w:pPr>
              <w:pStyle w:val="style0"/>
              <w:jc w:val="center"/>
              <w:rPr>
                <w:lang w:val="ru-RU"/>
              </w:rPr>
            </w:pPr>
            <w:r>
              <w:rPr>
                <w:lang w:val="ru-RU"/>
              </w:rP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E95E8648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C726BCEC">
            <w:pPr>
              <w:pStyle w:val="style0"/>
              <w:jc w:val="both"/>
              <w:rPr/>
            </w:pPr>
            <w:r>
              <w:t>Застосування прийомів саморегуляції психіки в стресових ситуація. Робота за протоколом надання першої психологічної допомоги «6.П»</w:t>
            </w:r>
            <w:r>
              <w:t>Модульна контрольна робота</w:t>
            </w:r>
          </w:p>
        </w:tc>
      </w:tr>
      <w:tr w14:paraId="3C9300A3">
        <w:tblPrEx/>
        <w:trPr/>
        <w:tc>
          <w:tcPr>
            <w:tcW w:w="9571" w:type="dxa"/>
            <w:gridSpan w:val="4"/>
            <w:tcBorders/>
            <w:vAlign w:val="center"/>
          </w:tcPr>
          <w:p w14:paraId="F6085238">
            <w:pPr>
              <w:pStyle w:val="style0"/>
              <w:jc w:val="center"/>
              <w:rPr>
                <w:b/>
              </w:rPr>
            </w:pPr>
            <w:r>
              <w:rPr>
                <w:b/>
                <w:lang w:val="ru-RU"/>
              </w:rPr>
              <w:t>Модуль</w:t>
            </w:r>
            <w:r>
              <w:rPr>
                <w:b/>
              </w:rPr>
              <w:t xml:space="preserve"> 2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Домедична підготовка</w:t>
            </w:r>
            <w:r>
              <w:rPr>
                <w:b/>
              </w:rPr>
              <w:t>.</w:t>
            </w:r>
          </w:p>
        </w:tc>
      </w:tr>
      <w:tr w14:paraId="32C3EB6B">
        <w:tblPrEx/>
        <w:trPr/>
        <w:tc>
          <w:tcPr>
            <w:tcW w:w="9571" w:type="dxa"/>
            <w:gridSpan w:val="4"/>
            <w:tcBorders/>
            <w:vAlign w:val="center"/>
          </w:tcPr>
          <w:p w14:paraId="734D5BD5">
            <w:pPr>
              <w:pStyle w:val="style0"/>
              <w:jc w:val="center"/>
              <w:rPr>
                <w:b/>
                <w:lang w:val="ru-RU"/>
              </w:rPr>
            </w:pPr>
          </w:p>
        </w:tc>
      </w:tr>
      <w:tr w14:paraId="284B6B36">
        <w:tblPrEx/>
        <w:trPr/>
        <w:tc>
          <w:tcPr>
            <w:tcW w:w="534" w:type="dxa"/>
            <w:tcBorders/>
            <w:vAlign w:val="center"/>
          </w:tcPr>
          <w:p w14:paraId="AC9FD880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tcBorders/>
            <w:vAlign w:val="center"/>
          </w:tcPr>
          <w:p w14:paraId="179C08D4">
            <w:pPr>
              <w:pStyle w:val="style0"/>
              <w:jc w:val="center"/>
              <w:rPr/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ADF5EE29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7280CCE3">
            <w:pPr>
              <w:pStyle w:val="style0"/>
              <w:jc w:val="both"/>
              <w:rPr/>
            </w:pPr>
            <w:r>
              <w:t xml:space="preserve">Основи та  принципи надання домедичної допомоги в умовах бойових дій та при надзвичайних ситуаціях. Алгоритм </w:t>
            </w:r>
            <w:r>
              <w:rPr>
                <w:lang w:val="en-US"/>
              </w:rPr>
              <w:t>MARCH PAWS</w:t>
            </w:r>
            <w:r>
              <w:t xml:space="preserve"> </w:t>
            </w:r>
            <w:r>
              <w:t>. Види кровотеч.</w:t>
            </w:r>
          </w:p>
        </w:tc>
      </w:tr>
      <w:tr w14:paraId="01FDE850">
        <w:tblPrEx/>
        <w:trPr/>
        <w:tc>
          <w:tcPr>
            <w:tcW w:w="534" w:type="dxa"/>
            <w:tcBorders/>
            <w:vAlign w:val="center"/>
          </w:tcPr>
          <w:p w14:paraId="D242DA53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  <w:vAlign w:val="center"/>
          </w:tcPr>
          <w:p w14:paraId="0B77099B">
            <w:pPr>
              <w:pStyle w:val="style0"/>
              <w:jc w:val="center"/>
              <w:rPr>
                <w:bCs/>
                <w:iCs/>
              </w:rPr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95BCE87C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062E3C78">
            <w:pPr>
              <w:pStyle w:val="style0"/>
              <w:jc w:val="both"/>
              <w:rPr>
                <w:lang w:val="ru-RU"/>
              </w:rPr>
            </w:pPr>
            <w:r>
              <w:t xml:space="preserve">Алгоритм надання домедичної допомоги а протоколами </w:t>
            </w:r>
            <w:r>
              <w:rPr>
                <w:lang w:val="en-US"/>
              </w:rPr>
              <w:t>MARCH PAWS</w:t>
            </w:r>
            <w:r>
              <w:t>, Ко Ле Со</w:t>
            </w:r>
            <w:r>
              <w:t>.</w:t>
            </w:r>
            <w:r>
              <w:t xml:space="preserve"> </w:t>
            </w:r>
            <w:r>
              <w:t xml:space="preserve">Огляд постраждалого на наявність масивних </w:t>
            </w:r>
            <w:r>
              <w:t xml:space="preserve">кровотеч у різних умовах. </w:t>
            </w:r>
            <w:r>
              <w:t>Способи зупинки кровотеч. Забезпечення прохідності дихальних шляхів.</w:t>
            </w:r>
          </w:p>
        </w:tc>
      </w:tr>
      <w:tr w14:paraId="6AE5B123">
        <w:tblPrEx/>
        <w:trPr/>
        <w:tc>
          <w:tcPr>
            <w:tcW w:w="534" w:type="dxa"/>
            <w:tcBorders/>
            <w:vAlign w:val="center"/>
          </w:tcPr>
          <w:p w14:paraId="66E0CDC8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  <w:vAlign w:val="center"/>
          </w:tcPr>
          <w:p w14:paraId="5AF47EED">
            <w:pPr>
              <w:pStyle w:val="style0"/>
              <w:jc w:val="center"/>
              <w:rPr>
                <w:bCs/>
              </w:rPr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B314B72B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FC0A40A1">
            <w:pPr>
              <w:pStyle w:val="style0"/>
              <w:jc w:val="both"/>
              <w:rPr>
                <w:color w:val="ff0000"/>
              </w:rPr>
            </w:pPr>
            <w:r>
              <w:t xml:space="preserve">Основи домедичної евакуації постраждалих. </w:t>
            </w:r>
            <w:r>
              <w:t>Склад індивідуальної  аптечки та правила  її використання</w:t>
            </w:r>
            <w:r>
              <w:t>.</w:t>
            </w:r>
            <w:r>
              <w:t xml:space="preserve"> Надання допомоги при травмах грудної клітки, внутрішніх органів, кінцівок</w:t>
            </w:r>
            <w:r>
              <w:t>. Ознаки шоку та особливості надання  надання домедичної допомоги у стані травматичного шоку</w:t>
            </w:r>
          </w:p>
        </w:tc>
      </w:tr>
      <w:tr w14:paraId="CB0F31AB">
        <w:tblPrEx/>
        <w:trPr/>
        <w:tc>
          <w:tcPr>
            <w:tcW w:w="534" w:type="dxa"/>
            <w:tcBorders/>
            <w:vAlign w:val="center"/>
          </w:tcPr>
          <w:p w14:paraId="442D69F5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  <w:vAlign w:val="center"/>
          </w:tcPr>
          <w:p w14:paraId="9D2687FD">
            <w:pPr>
              <w:pStyle w:val="style0"/>
              <w:jc w:val="center"/>
              <w:rPr/>
            </w:pPr>
            <w:r>
              <w:t xml:space="preserve">Практичне </w:t>
            </w:r>
          </w:p>
        </w:tc>
        <w:tc>
          <w:tcPr>
            <w:tcW w:w="571" w:type="dxa"/>
            <w:tcBorders/>
            <w:vAlign w:val="center"/>
          </w:tcPr>
          <w:p w14:paraId="B33C7158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439A815A">
            <w:pPr>
              <w:pStyle w:val="style0"/>
              <w:jc w:val="both"/>
              <w:rPr/>
            </w:pPr>
            <w:r>
              <w:t>Евакуація пораненого одним рятувальником, двома рятувальниками. Принципи використання індивідуальних засобів медичного забезпечення. Поняття гіпотермії. Надання допомоги при гіпотермії. Дотримання правил безпеки під час надання домедичної допомоги.</w:t>
            </w:r>
          </w:p>
        </w:tc>
      </w:tr>
      <w:tr w14:paraId="2DF8AFC9">
        <w:tblPrEx/>
        <w:trPr/>
        <w:tc>
          <w:tcPr>
            <w:tcW w:w="534" w:type="dxa"/>
            <w:tcBorders/>
            <w:vAlign w:val="center"/>
          </w:tcPr>
          <w:p w14:paraId="D9E7B23D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  <w:vAlign w:val="center"/>
          </w:tcPr>
          <w:p w14:paraId="221FE032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1AA579DC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089B8176">
            <w:pPr>
              <w:pStyle w:val="style0"/>
              <w:jc w:val="both"/>
              <w:rPr/>
            </w:pPr>
            <w:r>
              <w:t>Принципи та застосування допомоги в польових умовах (</w:t>
            </w:r>
            <w:r>
              <w:rPr>
                <w:lang w:val="en-US"/>
              </w:rPr>
              <w:t>TFC</w:t>
            </w:r>
            <w:r>
              <w:t xml:space="preserve">) за алгоритмом </w:t>
            </w:r>
            <w:r>
              <w:rPr>
                <w:lang w:val="en-US"/>
              </w:rPr>
              <w:t>MARCH</w:t>
            </w:r>
            <w:r>
              <w:t xml:space="preserve">. Етапи алгоритму </w:t>
            </w:r>
            <w:r>
              <w:rPr>
                <w:lang w:val="en-US"/>
              </w:rPr>
              <w:t>MARCH</w:t>
            </w:r>
            <w:r>
              <w:t>.</w:t>
            </w:r>
          </w:p>
        </w:tc>
      </w:tr>
      <w:tr w14:paraId="9E936C6F">
        <w:tblPrEx/>
        <w:trPr/>
        <w:tc>
          <w:tcPr>
            <w:tcW w:w="534" w:type="dxa"/>
            <w:tcBorders/>
            <w:vAlign w:val="center"/>
          </w:tcPr>
          <w:p w14:paraId="77233B72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  <w:vAlign w:val="center"/>
          </w:tcPr>
          <w:p w14:paraId="8D858185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C2BD9D22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8C34BBD3">
            <w:pPr>
              <w:pStyle w:val="style0"/>
              <w:jc w:val="both"/>
              <w:rPr/>
            </w:pPr>
            <w:r>
              <w:t>Модульна контрольна робота.</w:t>
            </w:r>
          </w:p>
          <w:p w14:paraId="42CA3A66">
            <w:pPr>
              <w:pStyle w:val="style0"/>
              <w:jc w:val="both"/>
              <w:rPr/>
            </w:pPr>
          </w:p>
        </w:tc>
      </w:tr>
      <w:tr w14:paraId="E38F85A7">
        <w:tblPrEx/>
        <w:trPr/>
        <w:tc>
          <w:tcPr>
            <w:tcW w:w="9571" w:type="dxa"/>
            <w:gridSpan w:val="4"/>
            <w:tcBorders/>
            <w:vAlign w:val="center"/>
          </w:tcPr>
          <w:p w14:paraId="E291DDB1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</w:t>
            </w:r>
            <w:r>
              <w:rPr>
                <w:b/>
              </w:rPr>
              <w:t xml:space="preserve">одуль 3 </w:t>
            </w:r>
            <w:r>
              <w:rPr>
                <w:b/>
              </w:rPr>
              <w:t>. Військова топографія. З</w:t>
            </w:r>
            <w:r>
              <w:rPr>
                <w:b/>
              </w:rPr>
              <w:t>в'язок та передавання інформації</w:t>
            </w:r>
          </w:p>
        </w:tc>
      </w:tr>
      <w:tr w14:paraId="F289BB31">
        <w:tblPrEx/>
        <w:trPr/>
        <w:tc>
          <w:tcPr>
            <w:tcW w:w="9571" w:type="dxa"/>
            <w:gridSpan w:val="4"/>
            <w:tcBorders/>
            <w:vAlign w:val="center"/>
          </w:tcPr>
          <w:p w14:paraId="EF7E7A0D">
            <w:pPr>
              <w:pStyle w:val="style0"/>
              <w:jc w:val="center"/>
              <w:rPr>
                <w:b/>
              </w:rPr>
            </w:pPr>
          </w:p>
        </w:tc>
      </w:tr>
      <w:tr w14:paraId="6C159CE0">
        <w:tblPrEx/>
        <w:trPr/>
        <w:tc>
          <w:tcPr>
            <w:tcW w:w="534" w:type="dxa"/>
            <w:tcBorders/>
            <w:vAlign w:val="center"/>
          </w:tcPr>
          <w:p w14:paraId="298A8442">
            <w:pPr>
              <w:pStyle w:val="style94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</w:t>
            </w:r>
          </w:p>
        </w:tc>
        <w:tc>
          <w:tcPr>
            <w:tcW w:w="1697" w:type="dxa"/>
            <w:tcBorders/>
            <w:vAlign w:val="center"/>
          </w:tcPr>
          <w:p w14:paraId="063EAE1A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FF4C6786">
            <w:pPr>
              <w:pStyle w:val="style0"/>
              <w:jc w:val="center"/>
              <w:rPr>
                <w:lang w:val="ru-RU"/>
              </w:rPr>
            </w:pPr>
            <w:r>
              <w:rPr>
                <w:lang w:val="ru-RU"/>
              </w:rPr>
              <w:t>2/2</w:t>
            </w:r>
          </w:p>
        </w:tc>
        <w:tc>
          <w:tcPr>
            <w:tcW w:w="6769" w:type="dxa"/>
            <w:tcBorders/>
            <w:vAlign w:val="center"/>
          </w:tcPr>
          <w:p w14:paraId="807DF931">
            <w:pPr>
              <w:pStyle w:val="style0"/>
              <w:jc w:val="both"/>
              <w:rPr/>
            </w:pPr>
            <w:r>
              <w:t xml:space="preserve">Паперові карти та електронні </w:t>
            </w:r>
            <w:r>
              <w:t>носії топографічної інформації. Компас. Прокладання маршрутів та обрахунок відстаней.</w:t>
            </w:r>
            <w:r>
              <w:t xml:space="preserve"> </w:t>
            </w:r>
            <w:r>
              <w:rPr>
                <w:bCs/>
              </w:rPr>
              <w:t xml:space="preserve">Правила орієнтування на місцевості (за небесними світилами, місцевими об’єктами) </w:t>
            </w:r>
            <w:r>
              <w:t xml:space="preserve"> </w:t>
            </w:r>
          </w:p>
        </w:tc>
      </w:tr>
      <w:tr w14:paraId="9B5821B8">
        <w:tblPrEx/>
        <w:trPr/>
        <w:tc>
          <w:tcPr>
            <w:tcW w:w="534" w:type="dxa"/>
            <w:tcBorders/>
            <w:vAlign w:val="center"/>
          </w:tcPr>
          <w:p w14:paraId="0CD8383D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  <w:vAlign w:val="center"/>
          </w:tcPr>
          <w:p w14:paraId="A8A6A142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C725D930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4DC83F08">
            <w:pPr>
              <w:pStyle w:val="style0"/>
              <w:jc w:val="both"/>
              <w:rPr>
                <w:bCs/>
              </w:rPr>
            </w:pPr>
            <w:r>
              <w:t>Орієнтування на місцевості за допомогою небесних світил, компаса, годинника, топографічної карти, місцевих предметів та за допомогою геоінформаційних систем</w:t>
            </w:r>
          </w:p>
        </w:tc>
      </w:tr>
      <w:tr w14:paraId="4F9AF760">
        <w:tblPrEx/>
        <w:trPr/>
        <w:tc>
          <w:tcPr>
            <w:tcW w:w="534" w:type="dxa"/>
            <w:tcBorders/>
            <w:vAlign w:val="center"/>
          </w:tcPr>
          <w:p w14:paraId="7A504C03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</w:tcPr>
          <w:p w14:paraId="51B13FFB">
            <w:pPr>
              <w:pStyle w:val="style0"/>
              <w:jc w:val="center"/>
              <w:rPr>
                <w:i/>
                <w:color w:val="ff0000"/>
              </w:rPr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B3082924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795607D8">
            <w:pPr>
              <w:pStyle w:val="style0"/>
              <w:jc w:val="both"/>
              <w:rPr>
                <w:color w:val="ff0000"/>
              </w:rPr>
            </w:pPr>
            <w:r>
              <w:t>Принципи роботи доступних засобів зв’язку. Правила радіообміну, робота з радіостанціями малої потужності, засобами супутникового зв’язку. Використання стандартів зв’язку та телекомунікаційних протоколів.</w:t>
            </w:r>
          </w:p>
        </w:tc>
      </w:tr>
      <w:tr w14:paraId="1EB71D18">
        <w:tblPrEx/>
        <w:trPr/>
        <w:tc>
          <w:tcPr>
            <w:tcW w:w="534" w:type="dxa"/>
            <w:tcBorders/>
            <w:vAlign w:val="center"/>
          </w:tcPr>
          <w:p w14:paraId="C7CE4132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</w:tcPr>
          <w:p w14:paraId="C9EB76A6">
            <w:pPr>
              <w:pStyle w:val="style0"/>
              <w:jc w:val="center"/>
              <w:rPr>
                <w:bCs/>
                <w:i/>
                <w:color w:val="ff0000"/>
              </w:rPr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13D78B78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CFDABB43">
            <w:pPr>
              <w:pStyle w:val="style0"/>
              <w:jc w:val="both"/>
              <w:rPr>
                <w:color w:val="ff0000"/>
              </w:rPr>
            </w:pPr>
            <w:r>
              <w:t>Використання основних способів зв’язку, застосовування тактичних сигнальних жестів; підключати живлення, орієнтувати антену, підключати пристрої; Доповідь про противника за стандартом SALUTE (Size, Activity, Location, Unit, Time, Equipment);</w:t>
            </w:r>
            <w:r>
              <w:t xml:space="preserve"> Відпрацювання доповіді про пораненого та запит на медичну евакуацію</w:t>
            </w:r>
          </w:p>
        </w:tc>
      </w:tr>
      <w:tr w14:paraId="EF4A2901">
        <w:tblPrEx/>
        <w:trPr/>
        <w:tc>
          <w:tcPr>
            <w:tcW w:w="534" w:type="dxa"/>
            <w:tcBorders/>
            <w:vAlign w:val="center"/>
          </w:tcPr>
          <w:p w14:paraId="ABA1A341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FBBCED5B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ECD2EFB1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FE476CF5">
            <w:pPr>
              <w:pStyle w:val="style0"/>
              <w:jc w:val="both"/>
              <w:rPr/>
            </w:pPr>
            <w:r>
              <w:t>Види радіаційного, хімічного, біологічного зараження та захист від них, види зброї масового ураження та радіаційних, хімічних небезпечних об’єктів, порядок дій на зараженій місцевості.</w:t>
            </w:r>
          </w:p>
        </w:tc>
      </w:tr>
      <w:tr w14:paraId="662B36E2">
        <w:tblPrEx/>
        <w:trPr/>
        <w:tc>
          <w:tcPr>
            <w:tcW w:w="534" w:type="dxa"/>
            <w:tcBorders/>
            <w:vAlign w:val="center"/>
          </w:tcPr>
          <w:p w14:paraId="0554CA94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A96DA609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A7AF900F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43627749">
            <w:pPr>
              <w:pStyle w:val="style0"/>
              <w:jc w:val="both"/>
              <w:rPr/>
            </w:pPr>
            <w:r>
              <w:t xml:space="preserve">Використання протигазів, загальновійськових захисних комплектів, захисних споруд та природних укриттів </w:t>
            </w:r>
            <w:r>
              <w:t>Модульна контрольна робота.</w:t>
            </w:r>
          </w:p>
        </w:tc>
      </w:tr>
      <w:tr w14:paraId="5ED61F3D">
        <w:tblPrEx/>
        <w:trPr/>
        <w:tc>
          <w:tcPr>
            <w:tcW w:w="9571" w:type="dxa"/>
            <w:gridSpan w:val="4"/>
            <w:tcBorders/>
            <w:vAlign w:val="center"/>
          </w:tcPr>
          <w:p w14:paraId="F962E5CE">
            <w:pPr>
              <w:pStyle w:val="style0"/>
              <w:jc w:val="center"/>
              <w:rPr>
                <w:b/>
              </w:rPr>
            </w:pPr>
            <w:r>
              <w:rPr>
                <w:b/>
                <w:lang w:val="ru-RU"/>
              </w:rPr>
              <w:t>М</w:t>
            </w:r>
            <w:r>
              <w:rPr>
                <w:b/>
              </w:rPr>
              <w:t xml:space="preserve">одуль 4. </w:t>
            </w:r>
            <w:r>
              <w:t xml:space="preserve">Інженерна підготовка та мінна безпека. </w:t>
            </w:r>
            <w:r>
              <w:t xml:space="preserve"> Тактична </w:t>
            </w:r>
            <w:r>
              <w:t xml:space="preserve"> підготовка.</w:t>
            </w:r>
          </w:p>
        </w:tc>
      </w:tr>
      <w:tr w14:paraId="C9B92C0F">
        <w:tblPrEx/>
        <w:trPr/>
        <w:tc>
          <w:tcPr>
            <w:tcW w:w="9571" w:type="dxa"/>
            <w:gridSpan w:val="4"/>
            <w:tcBorders/>
            <w:vAlign w:val="center"/>
          </w:tcPr>
          <w:p w14:paraId="D40BD430">
            <w:pPr>
              <w:pStyle w:val="style0"/>
              <w:jc w:val="center"/>
              <w:rPr>
                <w:b/>
                <w:lang w:val="ru-RU"/>
              </w:rPr>
            </w:pPr>
          </w:p>
        </w:tc>
      </w:tr>
      <w:tr w14:paraId="90849A26">
        <w:tblPrEx/>
        <w:trPr/>
        <w:tc>
          <w:tcPr>
            <w:tcW w:w="534" w:type="dxa"/>
            <w:tcBorders/>
            <w:vAlign w:val="center"/>
          </w:tcPr>
          <w:p w14:paraId="D4B0DBD0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tcBorders/>
          </w:tcPr>
          <w:p w14:paraId="C34C6A50">
            <w:pPr>
              <w:pStyle w:val="style0"/>
              <w:rPr>
                <w:bCs/>
                <w:i/>
                <w:color w:val="ff0000"/>
              </w:rPr>
            </w:pPr>
            <w:r>
              <w:rPr>
                <w:lang w:val="ru-RU"/>
              </w:rPr>
              <w:t xml:space="preserve">Лекція </w:t>
            </w:r>
          </w:p>
        </w:tc>
        <w:tc>
          <w:tcPr>
            <w:tcW w:w="571" w:type="dxa"/>
            <w:tcBorders/>
            <w:vAlign w:val="center"/>
          </w:tcPr>
          <w:p w14:paraId="5D3F74D4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A772B48D">
            <w:pPr>
              <w:pStyle w:val="style0"/>
              <w:jc w:val="both"/>
              <w:rPr>
                <w:color w:val="ff0000"/>
              </w:rPr>
            </w:pPr>
            <w:r>
              <w:t>Основи мінної безпеки. Класифікація вибухонебезпечних предметів, демаскуючі ознаки вибухонебезпечних предметів. Порядок дій при виявленні мін і вибухонебезпечних предметів.</w:t>
            </w:r>
          </w:p>
        </w:tc>
      </w:tr>
      <w:tr w14:paraId="429DA7F7">
        <w:tblPrEx/>
        <w:trPr/>
        <w:tc>
          <w:tcPr>
            <w:tcW w:w="534" w:type="dxa"/>
            <w:tcBorders/>
            <w:vAlign w:val="center"/>
          </w:tcPr>
          <w:p w14:paraId="3715DEFD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</w:tcPr>
          <w:p w14:paraId="4BA9FEB2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559F1FDC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7ABF1E42">
            <w:pPr>
              <w:pStyle w:val="style0"/>
              <w:jc w:val="both"/>
              <w:rPr/>
            </w:pPr>
            <w:r>
              <w:t>Загальні принципи інженерного облаштування позицій та маскування в умовах сучасних загроз та ударних БпЛА; базові відомості про інженерні загородження та способи їх обходу або подолання</w:t>
            </w:r>
          </w:p>
        </w:tc>
      </w:tr>
      <w:tr w14:paraId="DEE43171">
        <w:tblPrEx/>
        <w:trPr/>
        <w:tc>
          <w:tcPr>
            <w:tcW w:w="534" w:type="dxa"/>
            <w:tcBorders/>
            <w:vAlign w:val="center"/>
          </w:tcPr>
          <w:p w14:paraId="D211AD09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</w:tcPr>
          <w:p w14:paraId="D6645589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B6C0D6B5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B5F41DA1">
            <w:pPr>
              <w:pStyle w:val="style0"/>
              <w:jc w:val="both"/>
              <w:rPr/>
            </w:pPr>
            <w:r>
              <w:t>протитанкові та протипіхотні міни, їх бойові характеристики, принцип дії, будову, їх установлення та знешкодження, інженерні загородження, їх утримання та подолання; заходи безпеки при поводженні з вибуховими речовинами,</w:t>
            </w:r>
          </w:p>
        </w:tc>
      </w:tr>
      <w:tr w14:paraId="975F55DB">
        <w:tblPrEx/>
        <w:trPr/>
        <w:tc>
          <w:tcPr>
            <w:tcW w:w="534" w:type="dxa"/>
            <w:tcBorders/>
            <w:vAlign w:val="center"/>
          </w:tcPr>
          <w:p w14:paraId="94949B23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</w:tcPr>
          <w:p w14:paraId="C6916B76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2B6922E1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4229347D">
            <w:pPr>
              <w:pStyle w:val="style0"/>
              <w:jc w:val="both"/>
              <w:rPr/>
            </w:pPr>
            <w:r>
              <w:t>Основи індивідуальних дій та взаємодії в малих групах, базові принципи загальновійськового бою, способи пересування та укриття в умовах небезпеки, вибір і зміна позицій.</w:t>
            </w:r>
          </w:p>
        </w:tc>
      </w:tr>
      <w:tr w14:paraId="FAE70336">
        <w:tblPrEx/>
        <w:trPr/>
        <w:tc>
          <w:tcPr>
            <w:tcW w:w="534" w:type="dxa"/>
            <w:tcBorders/>
            <w:vAlign w:val="center"/>
          </w:tcPr>
          <w:p w14:paraId="59C29417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9FC2003B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5C5EC2C2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7B56DF97">
            <w:pPr>
              <w:pStyle w:val="style0"/>
              <w:jc w:val="both"/>
              <w:rPr/>
            </w:pPr>
            <w:r>
              <w:t>Дії в умовах вогневого впливу, алгоритми реагування на загрози, основи взаємодії в малих тактичних групах («двійки», «трійки»), базові відомості про сучасні засоби ведення бою, зокрема безпілотні літальні апарати (БпЛА), їх можливості та ознаки.</w:t>
            </w:r>
          </w:p>
        </w:tc>
      </w:tr>
      <w:tr w14:paraId="7DEF7267">
        <w:tblPrEx/>
        <w:trPr/>
        <w:tc>
          <w:tcPr>
            <w:tcW w:w="534" w:type="dxa"/>
            <w:tcBorders/>
            <w:vAlign w:val="center"/>
          </w:tcPr>
          <w:p w14:paraId="5972D2A4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09247B4E">
            <w:pPr>
              <w:pStyle w:val="style0"/>
              <w:rPr>
                <w:lang w:val="ru-RU"/>
              </w:rPr>
            </w:pPr>
            <w:r>
              <w:rPr>
                <w:lang w:val="ru-RU"/>
              </w:rP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0634AD44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3285178F">
            <w:pPr>
              <w:pStyle w:val="style0"/>
              <w:jc w:val="both"/>
              <w:rPr/>
            </w:pPr>
            <w:r>
              <w:t>Дотримання заходів безпеки, орієнтування в обстановці, на місцевості та прийняття рішень у динамічних умовах.</w:t>
            </w:r>
          </w:p>
        </w:tc>
      </w:tr>
      <w:tr w14:paraId="7CF44D99">
        <w:tblPrEx/>
        <w:trPr/>
        <w:tc>
          <w:tcPr>
            <w:tcW w:w="9571" w:type="dxa"/>
            <w:gridSpan w:val="4"/>
            <w:tcBorders/>
            <w:vAlign w:val="center"/>
          </w:tcPr>
          <w:p w14:paraId="6F138D0B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Модуль 5.</w:t>
            </w:r>
            <w:r>
              <w:rPr>
                <w:b/>
              </w:rPr>
              <w:t xml:space="preserve"> Вогнева підготовка.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Виживання та спеціальна підготовка</w:t>
            </w:r>
          </w:p>
        </w:tc>
      </w:tr>
      <w:tr w14:paraId="FBF3F299">
        <w:tblPrEx/>
        <w:trPr/>
        <w:tc>
          <w:tcPr>
            <w:tcW w:w="9571" w:type="dxa"/>
            <w:gridSpan w:val="4"/>
            <w:tcBorders/>
            <w:vAlign w:val="center"/>
          </w:tcPr>
          <w:p w14:paraId="A5F606C1">
            <w:pPr>
              <w:pStyle w:val="style0"/>
              <w:jc w:val="center"/>
              <w:rPr>
                <w:b/>
              </w:rPr>
            </w:pPr>
          </w:p>
        </w:tc>
      </w:tr>
      <w:tr w14:paraId="57F5F638">
        <w:tblPrEx/>
        <w:trPr/>
        <w:tc>
          <w:tcPr>
            <w:tcW w:w="534" w:type="dxa"/>
            <w:tcBorders/>
            <w:vAlign w:val="center"/>
          </w:tcPr>
          <w:p w14:paraId="7815C6C0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tcBorders/>
          </w:tcPr>
          <w:p w14:paraId="3CB0B3FD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7491F647">
            <w:pPr>
              <w:pStyle w:val="style0"/>
              <w:jc w:val="center"/>
              <w:rPr/>
            </w:pPr>
            <w:r>
              <w:t>2/2</w:t>
            </w:r>
          </w:p>
        </w:tc>
        <w:tc>
          <w:tcPr>
            <w:tcW w:w="6769" w:type="dxa"/>
            <w:tcBorders/>
            <w:vAlign w:val="center"/>
          </w:tcPr>
          <w:p w14:paraId="59332B8B">
            <w:pPr>
              <w:pStyle w:val="style0"/>
              <w:jc w:val="both"/>
              <w:rPr/>
            </w:pPr>
            <w:r>
              <w:t>Основи балістики. Маніпуляції з AEC/AR системами, прицілювання, коригування вогню.</w:t>
            </w:r>
          </w:p>
        </w:tc>
      </w:tr>
      <w:tr w14:paraId="CF823B2A">
        <w:tblPrEx/>
        <w:trPr/>
        <w:tc>
          <w:tcPr>
            <w:tcW w:w="534" w:type="dxa"/>
            <w:tcBorders/>
            <w:vAlign w:val="center"/>
          </w:tcPr>
          <w:p w14:paraId="2D63AFB8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7" w:type="dxa"/>
            <w:tcBorders/>
          </w:tcPr>
          <w:p w14:paraId="3E6B918F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49BCDBE0">
            <w:pPr>
              <w:pStyle w:val="style0"/>
              <w:jc w:val="center"/>
              <w:rPr/>
            </w:pPr>
            <w:r>
              <w:t>2/4</w:t>
            </w:r>
          </w:p>
        </w:tc>
        <w:tc>
          <w:tcPr>
            <w:tcW w:w="6769" w:type="dxa"/>
            <w:tcBorders/>
            <w:vAlign w:val="center"/>
          </w:tcPr>
          <w:p w14:paraId="D7E29BB4">
            <w:pPr>
              <w:pStyle w:val="style0"/>
              <w:jc w:val="both"/>
              <w:rPr/>
            </w:pPr>
            <w:r>
              <w:t>Затримки при стрільбі та способи їх усунення, правила безпеки. Призначення, будова та принцип дії ручних гранат.</w:t>
            </w:r>
          </w:p>
        </w:tc>
      </w:tr>
      <w:tr w14:paraId="1BF2D1D9">
        <w:tblPrEx/>
        <w:trPr/>
        <w:tc>
          <w:tcPr>
            <w:tcW w:w="534" w:type="dxa"/>
            <w:tcBorders/>
            <w:vAlign w:val="center"/>
          </w:tcPr>
          <w:p w14:paraId="7C4CE74C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97" w:type="dxa"/>
            <w:tcBorders/>
          </w:tcPr>
          <w:p w14:paraId="AD65CDDF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11F7FAE3">
            <w:pPr>
              <w:pStyle w:val="style0"/>
              <w:jc w:val="center"/>
              <w:rPr/>
            </w:pPr>
            <w:r>
              <w:t>2/6</w:t>
            </w:r>
          </w:p>
        </w:tc>
        <w:tc>
          <w:tcPr>
            <w:tcW w:w="6769" w:type="dxa"/>
            <w:tcBorders/>
            <w:vAlign w:val="center"/>
          </w:tcPr>
          <w:p w14:paraId="5E9B5E81">
            <w:pPr>
              <w:pStyle w:val="style0"/>
              <w:jc w:val="both"/>
              <w:rPr/>
            </w:pPr>
            <w:r>
              <w:t>Прийоми та правила метання ручних гранат. Заходи безпеки під час поводження зі стрілецькою зброєю і ручними гранатами</w:t>
            </w:r>
          </w:p>
        </w:tc>
      </w:tr>
      <w:tr w14:paraId="D8EB1D1E">
        <w:tblPrEx/>
        <w:trPr/>
        <w:tc>
          <w:tcPr>
            <w:tcW w:w="534" w:type="dxa"/>
            <w:tcBorders/>
            <w:vAlign w:val="center"/>
          </w:tcPr>
          <w:p w14:paraId="8C1048E6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97" w:type="dxa"/>
            <w:tcBorders/>
          </w:tcPr>
          <w:p w14:paraId="1EDE4DC8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D3BBF697">
            <w:pPr>
              <w:pStyle w:val="style0"/>
              <w:jc w:val="center"/>
              <w:rPr/>
            </w:pPr>
            <w:r>
              <w:t>2/8</w:t>
            </w:r>
          </w:p>
        </w:tc>
        <w:tc>
          <w:tcPr>
            <w:tcW w:w="6769" w:type="dxa"/>
            <w:tcBorders/>
            <w:vAlign w:val="center"/>
          </w:tcPr>
          <w:p w14:paraId="8B280768">
            <w:pPr>
              <w:pStyle w:val="style0"/>
              <w:jc w:val="both"/>
              <w:rPr/>
            </w:pPr>
            <w:r>
              <w:t>Вибір прицілу, точки прицілювання, коригування та управління вогнем</w:t>
            </w:r>
          </w:p>
        </w:tc>
      </w:tr>
      <w:tr w14:paraId="60FA0479">
        <w:tblPrEx/>
        <w:trPr/>
        <w:tc>
          <w:tcPr>
            <w:tcW w:w="534" w:type="dxa"/>
            <w:tcBorders/>
            <w:vAlign w:val="center"/>
          </w:tcPr>
          <w:p w14:paraId="E373BF59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286A2812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538E7836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FB862A15">
            <w:pPr>
              <w:pStyle w:val="style0"/>
              <w:jc w:val="both"/>
              <w:rPr/>
            </w:pPr>
            <w:r>
              <w:t>ДІЇ за сигналами оповіщення та під час обстрілів. Підготовка тривожної валізи. Добування і очищення води, розведення вогню, приготування  їжі в екстремальних умовах, захист від переохолодження, спорудження і обладнання укриттів, маскування розташування і слідів перебування</w:t>
            </w:r>
          </w:p>
        </w:tc>
      </w:tr>
      <w:tr w14:paraId="CFEFFAFA">
        <w:tblPrEx/>
        <w:trPr/>
        <w:tc>
          <w:tcPr>
            <w:tcW w:w="534" w:type="dxa"/>
            <w:tcBorders/>
            <w:vAlign w:val="center"/>
          </w:tcPr>
          <w:p w14:paraId="5D0F8669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12E0DC2D">
            <w:pPr>
              <w:pStyle w:val="style0"/>
              <w:jc w:val="center"/>
              <w:rPr/>
            </w:pPr>
            <w:r>
              <w:t>лекція</w:t>
            </w:r>
          </w:p>
        </w:tc>
        <w:tc>
          <w:tcPr>
            <w:tcW w:w="571" w:type="dxa"/>
            <w:tcBorders/>
            <w:vAlign w:val="center"/>
          </w:tcPr>
          <w:p w14:paraId="D2CDEAC0">
            <w:pPr>
              <w:pStyle w:val="style0"/>
              <w:jc w:val="center"/>
              <w:rPr/>
            </w:pPr>
            <w:r>
              <w:t>2/12</w:t>
            </w:r>
          </w:p>
        </w:tc>
        <w:tc>
          <w:tcPr>
            <w:tcW w:w="6769" w:type="dxa"/>
            <w:tcBorders/>
            <w:vAlign w:val="center"/>
          </w:tcPr>
          <w:p w14:paraId="5D9D19A2">
            <w:pPr>
              <w:pStyle w:val="style0"/>
              <w:jc w:val="both"/>
              <w:rPr/>
            </w:pPr>
            <w:r>
              <w:t xml:space="preserve"> Організація та облаштування індивідуального місця розташування у складі малого підрозділу в умовах можливої зустрічі з противником; облаштовувати прості укриття з урахуванням умов місцевості;</w:t>
            </w:r>
          </w:p>
        </w:tc>
      </w:tr>
      <w:tr w14:paraId="B7C0F147">
        <w:tblPrEx/>
        <w:trPr/>
        <w:tc>
          <w:tcPr>
            <w:tcW w:w="534" w:type="dxa"/>
            <w:tcBorders/>
            <w:vAlign w:val="center"/>
          </w:tcPr>
          <w:p w14:paraId="C8949944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97" w:type="dxa"/>
            <w:tcBorders/>
          </w:tcPr>
          <w:p w14:paraId="E099BB77">
            <w:pPr>
              <w:pStyle w:val="style0"/>
              <w:rPr/>
            </w:pPr>
            <w:r>
              <w:t>К</w:t>
            </w:r>
            <w:r>
              <w:t>онтроль і корекція знань, умінь та навичок</w:t>
            </w:r>
          </w:p>
        </w:tc>
        <w:tc>
          <w:tcPr>
            <w:tcW w:w="571" w:type="dxa"/>
            <w:tcBorders/>
            <w:vAlign w:val="center"/>
          </w:tcPr>
          <w:p w14:paraId="5A1520B9">
            <w:pPr>
              <w:pStyle w:val="style0"/>
              <w:jc w:val="center"/>
              <w:rPr/>
            </w:pPr>
            <w:r>
              <w:t>2/10</w:t>
            </w:r>
          </w:p>
        </w:tc>
        <w:tc>
          <w:tcPr>
            <w:tcW w:w="6769" w:type="dxa"/>
            <w:tcBorders/>
            <w:vAlign w:val="center"/>
          </w:tcPr>
          <w:p w14:paraId="B2AD18D7">
            <w:pPr>
              <w:pStyle w:val="style0"/>
              <w:jc w:val="both"/>
              <w:rPr/>
            </w:pPr>
            <w:r>
              <w:t>Підсумкова контрольна робота.</w:t>
            </w:r>
            <w:r>
              <w:t xml:space="preserve"> Виконання практичних завдань</w:t>
            </w:r>
          </w:p>
        </w:tc>
      </w:tr>
      <w:tr w14:paraId="65FD4500">
        <w:tblPrEx/>
        <w:trPr/>
        <w:tc>
          <w:tcPr>
            <w:tcW w:w="534" w:type="dxa"/>
            <w:tcBorders/>
            <w:vAlign w:val="center"/>
          </w:tcPr>
          <w:p w14:paraId="EF0E3F3A">
            <w:pPr>
              <w:pStyle w:val="style9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97" w:type="dxa"/>
            <w:tcBorders/>
          </w:tcPr>
          <w:p w14:paraId="66932266">
            <w:pPr>
              <w:pStyle w:val="style0"/>
              <w:jc w:val="center"/>
              <w:rPr/>
            </w:pPr>
            <w:r>
              <w:t>практичне</w:t>
            </w:r>
          </w:p>
        </w:tc>
        <w:tc>
          <w:tcPr>
            <w:tcW w:w="571" w:type="dxa"/>
            <w:tcBorders/>
            <w:vAlign w:val="center"/>
          </w:tcPr>
          <w:p w14:paraId="EF893E97">
            <w:pPr>
              <w:pStyle w:val="style0"/>
              <w:jc w:val="center"/>
              <w:rPr/>
            </w:pPr>
            <w:r>
              <w:t>4/14</w:t>
            </w:r>
          </w:p>
        </w:tc>
        <w:tc>
          <w:tcPr>
            <w:tcW w:w="6769" w:type="dxa"/>
            <w:tcBorders/>
            <w:vAlign w:val="center"/>
          </w:tcPr>
          <w:p w14:paraId="31FFB73F">
            <w:pPr>
              <w:pStyle w:val="style0"/>
              <w:jc w:val="both"/>
              <w:rPr/>
            </w:pPr>
            <w:r>
              <w:t>Відпрацювання навичок застосування стрілецької зброї і ручних гранат</w:t>
            </w:r>
          </w:p>
        </w:tc>
      </w:tr>
      <w:tr w14:paraId="B107A006">
        <w:tblPrEx/>
        <w:trPr/>
        <w:tc>
          <w:tcPr>
            <w:tcW w:w="9571" w:type="dxa"/>
            <w:gridSpan w:val="4"/>
            <w:tcBorders/>
            <w:vAlign w:val="center"/>
          </w:tcPr>
          <w:p w14:paraId="DFB916A9">
            <w:pPr>
              <w:pStyle w:val="style0"/>
              <w:jc w:val="center"/>
              <w:rPr>
                <w:b/>
              </w:rPr>
            </w:pPr>
          </w:p>
        </w:tc>
      </w:tr>
    </w:tbl>
    <w:p w14:paraId="AA84569D">
      <w:pPr>
        <w:pStyle w:val="style94"/>
        <w:spacing w:before="0" w:beforeAutospacing="false" w:after="0" w:afterAutospacing="false" w:lineRule="auto" w:line="360"/>
        <w:rPr>
          <w:b/>
          <w:bCs/>
          <w:color w:val="000000"/>
        </w:rPr>
      </w:pPr>
    </w:p>
    <w:p w14:paraId="C6E6E9C0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5. Теми семінарів</w:t>
      </w:r>
      <w:r>
        <w:rPr>
          <w:b/>
          <w:bCs/>
          <w:color w:val="000000"/>
          <w:lang w:val="ru-RU"/>
        </w:rPr>
        <w:t xml:space="preserve"> –</w:t>
      </w:r>
      <w:r>
        <w:rPr>
          <w:bCs/>
          <w:color w:val="000000"/>
          <w:lang w:val="ru-RU"/>
        </w:rPr>
        <w:t>не передбачено</w:t>
      </w:r>
    </w:p>
    <w:p w14:paraId="7D9547F2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6</w:t>
      </w:r>
      <w:r>
        <w:rPr>
          <w:b/>
          <w:bCs/>
          <w:color w:val="000000"/>
        </w:rPr>
        <w:t>. Теми лабораторних занять</w:t>
      </w:r>
      <w:r>
        <w:rPr>
          <w:b/>
          <w:bCs/>
          <w:color w:val="000000"/>
          <w:lang w:val="ru-RU"/>
        </w:rPr>
        <w:t xml:space="preserve"> – </w:t>
      </w:r>
      <w:r>
        <w:rPr>
          <w:bCs/>
          <w:color w:val="000000"/>
          <w:lang w:val="ru-RU"/>
        </w:rPr>
        <w:t>не передбачено</w:t>
      </w:r>
    </w:p>
    <w:p w14:paraId="7A96E8DA">
      <w:pPr>
        <w:pStyle w:val="style94"/>
        <w:spacing w:before="0" w:beforeAutospacing="false" w:after="0" w:afterAutospacing="false" w:lineRule="auto" w:line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7</w:t>
      </w:r>
      <w:r>
        <w:rPr>
          <w:b/>
          <w:bCs/>
          <w:color w:val="000000"/>
        </w:rPr>
        <w:t>. Самостійна робота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799"/>
        <w:gridCol w:w="7304"/>
        <w:gridCol w:w="1253"/>
      </w:tblGrid>
      <w:tr w14:paraId="278600D2">
        <w:trPr/>
        <w:tc>
          <w:tcPr>
            <w:tcW w:w="802" w:type="dxa"/>
            <w:tcBorders/>
            <w:vAlign w:val="center"/>
          </w:tcPr>
          <w:p w14:paraId="FD78C3D4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№ з/п</w:t>
            </w:r>
          </w:p>
        </w:tc>
        <w:tc>
          <w:tcPr>
            <w:tcW w:w="7366" w:type="dxa"/>
            <w:tcBorders/>
            <w:vAlign w:val="center"/>
          </w:tcPr>
          <w:p w14:paraId="DAF2FA78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 теми</w:t>
            </w:r>
          </w:p>
        </w:tc>
        <w:tc>
          <w:tcPr>
            <w:tcW w:w="1177" w:type="dxa"/>
            <w:tcBorders/>
            <w:vAlign w:val="center"/>
          </w:tcPr>
          <w:p w14:paraId="B54AE58D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Кількість годин</w:t>
            </w:r>
          </w:p>
        </w:tc>
      </w:tr>
      <w:tr w14:paraId="1A007016">
        <w:tblPrEx/>
        <w:trPr/>
        <w:tc>
          <w:tcPr>
            <w:tcW w:w="9345" w:type="dxa"/>
            <w:gridSpan w:val="3"/>
            <w:tcBorders/>
            <w:vAlign w:val="center"/>
          </w:tcPr>
          <w:p w14:paraId="7A02766A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 xml:space="preserve">Модуль </w:t>
            </w:r>
            <w:r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 xml:space="preserve"> Національний спротив</w:t>
            </w:r>
          </w:p>
        </w:tc>
      </w:tr>
      <w:tr w14:paraId="2FB58EF7">
        <w:tblPrEx/>
        <w:trPr/>
        <w:tc>
          <w:tcPr>
            <w:tcW w:w="802" w:type="dxa"/>
            <w:tcBorders/>
            <w:vAlign w:val="center"/>
          </w:tcPr>
          <w:p w14:paraId="8526C107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366" w:type="dxa"/>
            <w:tcBorders/>
          </w:tcPr>
          <w:p w14:paraId="0D2DB962">
            <w:pPr>
              <w:pStyle w:val="style0"/>
              <w:jc w:val="both"/>
              <w:rPr/>
            </w:pPr>
            <w:r>
              <w:t>Історичний досвід української самоорганізації національного спротиву в умовах збройної агресії</w:t>
            </w:r>
          </w:p>
        </w:tc>
        <w:tc>
          <w:tcPr>
            <w:tcW w:w="1177" w:type="dxa"/>
            <w:tcBorders/>
            <w:vAlign w:val="center"/>
          </w:tcPr>
          <w:p w14:paraId="0E0A9345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A40A8410">
        <w:tblPrEx/>
        <w:trPr/>
        <w:tc>
          <w:tcPr>
            <w:tcW w:w="802" w:type="dxa"/>
            <w:tcBorders/>
            <w:vAlign w:val="center"/>
          </w:tcPr>
          <w:p w14:paraId="EDCE0F9E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66" w:type="dxa"/>
            <w:tcBorders/>
          </w:tcPr>
          <w:p w14:paraId="481A344C">
            <w:pPr>
              <w:pStyle w:val="style0"/>
              <w:jc w:val="both"/>
              <w:rPr/>
            </w:pPr>
            <w:r>
              <w:t>Перспективи розвитку нації в умовах збройної агресії</w:t>
            </w:r>
          </w:p>
        </w:tc>
        <w:tc>
          <w:tcPr>
            <w:tcW w:w="1177" w:type="dxa"/>
            <w:tcBorders/>
            <w:vAlign w:val="center"/>
          </w:tcPr>
          <w:p w14:paraId="B2F2D1E6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D64B185D">
        <w:tblPrEx/>
        <w:trPr/>
        <w:tc>
          <w:tcPr>
            <w:tcW w:w="802" w:type="dxa"/>
            <w:tcBorders/>
            <w:vAlign w:val="center"/>
          </w:tcPr>
          <w:p w14:paraId="B427483A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366" w:type="dxa"/>
            <w:tcBorders/>
          </w:tcPr>
          <w:p w14:paraId="8FAA8B38">
            <w:pPr>
              <w:pStyle w:val="style0"/>
              <w:jc w:val="both"/>
              <w:rPr/>
            </w:pPr>
            <w:r>
              <w:t>Історичні приклади та досвід самоорганізації українського спротиву</w:t>
            </w:r>
          </w:p>
        </w:tc>
        <w:tc>
          <w:tcPr>
            <w:tcW w:w="1177" w:type="dxa"/>
            <w:tcBorders/>
            <w:vAlign w:val="center"/>
          </w:tcPr>
          <w:p w14:paraId="F677DE29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D3B890A2">
        <w:tblPrEx/>
        <w:trPr/>
        <w:tc>
          <w:tcPr>
            <w:tcW w:w="802" w:type="dxa"/>
            <w:tcBorders/>
            <w:vAlign w:val="center"/>
          </w:tcPr>
          <w:p w14:paraId="47320EAD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366" w:type="dxa"/>
            <w:tcBorders/>
          </w:tcPr>
          <w:p w14:paraId="9544B595">
            <w:pPr>
              <w:pStyle w:val="style0"/>
              <w:jc w:val="both"/>
              <w:rPr/>
            </w:pPr>
            <w:r>
              <w:t>Основні принципи міжнародного права. Правила поводження з військовополоненими</w:t>
            </w:r>
          </w:p>
        </w:tc>
        <w:tc>
          <w:tcPr>
            <w:tcW w:w="1177" w:type="dxa"/>
            <w:tcBorders/>
            <w:vAlign w:val="center"/>
          </w:tcPr>
          <w:p w14:paraId="E57D981E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14:paraId="F5868C92">
        <w:tblPrEx/>
        <w:trPr/>
        <w:tc>
          <w:tcPr>
            <w:tcW w:w="802" w:type="dxa"/>
            <w:tcBorders/>
            <w:vAlign w:val="center"/>
          </w:tcPr>
          <w:p w14:paraId="BAA8B1E7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B293ADE1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Модуль 2</w:t>
            </w:r>
            <w:r>
              <w:rPr>
                <w:b/>
              </w:rPr>
              <w:t xml:space="preserve"> Домедична підготовка </w:t>
            </w:r>
          </w:p>
        </w:tc>
        <w:tc>
          <w:tcPr>
            <w:tcW w:w="1177" w:type="dxa"/>
            <w:tcBorders/>
            <w:vAlign w:val="center"/>
          </w:tcPr>
          <w:p w14:paraId="2FEE077E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</w:tr>
      <w:tr w14:paraId="003E8979">
        <w:tblPrEx/>
        <w:trPr/>
        <w:tc>
          <w:tcPr>
            <w:tcW w:w="802" w:type="dxa"/>
            <w:tcBorders/>
            <w:vAlign w:val="center"/>
          </w:tcPr>
          <w:p w14:paraId="0F2238C5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E9DCBEA0">
            <w:pPr>
              <w:pStyle w:val="style0"/>
              <w:jc w:val="both"/>
              <w:rPr/>
            </w:pPr>
            <w:r>
              <w:t>Принципи та застосування допомоги в польових умовах.</w:t>
            </w:r>
          </w:p>
        </w:tc>
        <w:tc>
          <w:tcPr>
            <w:tcW w:w="1177" w:type="dxa"/>
            <w:tcBorders/>
            <w:vAlign w:val="center"/>
          </w:tcPr>
          <w:p w14:paraId="4E4BCFA7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E552C7FB">
        <w:tblPrEx/>
        <w:trPr/>
        <w:tc>
          <w:tcPr>
            <w:tcW w:w="802" w:type="dxa"/>
            <w:tcBorders/>
            <w:vAlign w:val="center"/>
          </w:tcPr>
          <w:p w14:paraId="4654448A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66" w:type="dxa"/>
            <w:tcBorders/>
          </w:tcPr>
          <w:p w14:paraId="5EA62AF8">
            <w:pPr>
              <w:pStyle w:val="style0"/>
              <w:jc w:val="both"/>
              <w:rPr/>
            </w:pPr>
            <w:r>
              <w:t>Склад індивідуальної аптечки та правила її використання.</w:t>
            </w:r>
          </w:p>
        </w:tc>
        <w:tc>
          <w:tcPr>
            <w:tcW w:w="1177" w:type="dxa"/>
            <w:tcBorders/>
            <w:vAlign w:val="center"/>
          </w:tcPr>
          <w:p w14:paraId="12CEB8B6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7CBFDDBD">
        <w:tblPrEx/>
        <w:trPr/>
        <w:tc>
          <w:tcPr>
            <w:tcW w:w="802" w:type="dxa"/>
            <w:tcBorders/>
            <w:vAlign w:val="center"/>
          </w:tcPr>
          <w:p w14:paraId="D196B289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366" w:type="dxa"/>
            <w:tcBorders/>
          </w:tcPr>
          <w:p w14:paraId="F5C02D30">
            <w:pPr>
              <w:pStyle w:val="style0"/>
              <w:jc w:val="both"/>
              <w:rPr/>
            </w:pPr>
            <w:r>
              <w:t>Види турнікетів. Самостійне відпрацювання прийомів зупинки кровотечі. Самодопомога.</w:t>
            </w:r>
          </w:p>
        </w:tc>
        <w:tc>
          <w:tcPr>
            <w:tcW w:w="1177" w:type="dxa"/>
            <w:tcBorders/>
            <w:vAlign w:val="center"/>
          </w:tcPr>
          <w:p w14:paraId="85EE3E14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1954AE6E">
        <w:tblPrEx/>
        <w:trPr/>
        <w:tc>
          <w:tcPr>
            <w:tcW w:w="802" w:type="dxa"/>
            <w:tcBorders/>
            <w:vAlign w:val="center"/>
          </w:tcPr>
          <w:p w14:paraId="A8C5C75D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7366" w:type="dxa"/>
            <w:tcBorders/>
          </w:tcPr>
          <w:p w14:paraId="A5651D0B">
            <w:pPr>
              <w:pStyle w:val="style0"/>
              <w:jc w:val="both"/>
              <w:rPr/>
            </w:pPr>
            <w:r>
              <w:t>Відпрацювання прийомів евакуації пораненого під час переміщення по місцевості або внаслідок вогневого контакту</w:t>
            </w:r>
          </w:p>
        </w:tc>
        <w:tc>
          <w:tcPr>
            <w:tcW w:w="1177" w:type="dxa"/>
            <w:tcBorders/>
            <w:vAlign w:val="center"/>
          </w:tcPr>
          <w:p w14:paraId="C7799340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0845D1CC">
        <w:tblPrEx/>
        <w:trPr/>
        <w:tc>
          <w:tcPr>
            <w:tcW w:w="802" w:type="dxa"/>
            <w:tcBorders/>
            <w:vAlign w:val="center"/>
          </w:tcPr>
          <w:p w14:paraId="78C100DD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D398A556">
            <w:pPr>
              <w:pStyle w:val="style0"/>
              <w:jc w:val="both"/>
              <w:rPr>
                <w:b/>
              </w:rPr>
            </w:pPr>
            <w:r>
              <w:rPr>
                <w:b/>
              </w:rPr>
              <w:t>Модуль 3</w:t>
            </w:r>
            <w:r>
              <w:t>. Військова топографія, Навігація і орієнтування на місцевості. Зв'язок та  передавання інформації. Зброя масового ураження</w:t>
            </w:r>
          </w:p>
        </w:tc>
        <w:tc>
          <w:tcPr>
            <w:tcW w:w="1177" w:type="dxa"/>
            <w:tcBorders/>
            <w:vAlign w:val="center"/>
          </w:tcPr>
          <w:p w14:paraId="8096A600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14:paraId="3B1A7C0D">
        <w:tblPrEx/>
        <w:trPr/>
        <w:tc>
          <w:tcPr>
            <w:tcW w:w="802" w:type="dxa"/>
            <w:tcBorders/>
            <w:vAlign w:val="center"/>
          </w:tcPr>
          <w:p w14:paraId="D3295788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E3DED65C">
            <w:pPr>
              <w:pStyle w:val="style0"/>
              <w:jc w:val="both"/>
              <w:rPr/>
            </w:pPr>
            <w:r>
              <w:t>Визначення маршрутів на паперових картах та електронних носіях</w:t>
            </w:r>
          </w:p>
        </w:tc>
        <w:tc>
          <w:tcPr>
            <w:tcW w:w="1177" w:type="dxa"/>
            <w:tcBorders/>
            <w:vAlign w:val="center"/>
          </w:tcPr>
          <w:p w14:paraId="5C797484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DB4280BD">
        <w:tblPrEx/>
        <w:trPr/>
        <w:tc>
          <w:tcPr>
            <w:tcW w:w="802" w:type="dxa"/>
            <w:tcBorders/>
            <w:vAlign w:val="center"/>
          </w:tcPr>
          <w:p w14:paraId="6E9A46DF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97BDCFE0">
            <w:pPr>
              <w:pStyle w:val="style0"/>
              <w:jc w:val="both"/>
              <w:rPr/>
            </w:pPr>
            <w:r>
              <w:t>Основні принципи орієнтування на незнайомій місцевості</w:t>
            </w:r>
          </w:p>
        </w:tc>
        <w:tc>
          <w:tcPr>
            <w:tcW w:w="1177" w:type="dxa"/>
            <w:tcBorders/>
            <w:vAlign w:val="center"/>
          </w:tcPr>
          <w:p w14:paraId="E858063C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1EB16ED8">
        <w:tblPrEx/>
        <w:trPr/>
        <w:tc>
          <w:tcPr>
            <w:tcW w:w="802" w:type="dxa"/>
            <w:tcBorders/>
            <w:vAlign w:val="center"/>
          </w:tcPr>
          <w:p w14:paraId="1A38FFB4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7F2E2F2D">
            <w:pPr>
              <w:pStyle w:val="style0"/>
              <w:jc w:val="both"/>
              <w:rPr/>
            </w:pPr>
            <w:r>
              <w:t>Основні види зброї масового ураження, алгоритм дій.</w:t>
            </w:r>
          </w:p>
        </w:tc>
        <w:tc>
          <w:tcPr>
            <w:tcW w:w="1177" w:type="dxa"/>
            <w:tcBorders/>
            <w:vAlign w:val="center"/>
          </w:tcPr>
          <w:p w14:paraId="40236202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E5B95D06">
        <w:tblPrEx/>
        <w:trPr/>
        <w:tc>
          <w:tcPr>
            <w:tcW w:w="802" w:type="dxa"/>
            <w:tcBorders/>
            <w:vAlign w:val="center"/>
          </w:tcPr>
          <w:p w14:paraId="1AFCED26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C35C0AD5">
            <w:pPr>
              <w:pStyle w:val="style0"/>
              <w:rPr>
                <w:b/>
              </w:rPr>
            </w:pPr>
            <w:r>
              <w:rPr>
                <w:b/>
              </w:rPr>
              <w:t>Модуль 4</w:t>
            </w:r>
            <w:r>
              <w:rPr>
                <w:b/>
              </w:rPr>
              <w:t xml:space="preserve"> </w:t>
            </w:r>
            <w:r>
              <w:t>Інженерна підготовка та мінна безпека. Тактична підготовка.</w:t>
            </w:r>
          </w:p>
        </w:tc>
        <w:tc>
          <w:tcPr>
            <w:tcW w:w="1177" w:type="dxa"/>
            <w:tcBorders/>
            <w:vAlign w:val="center"/>
          </w:tcPr>
          <w:p w14:paraId="4C0475F2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14:paraId="16DCAD0F">
        <w:tblPrEx/>
        <w:trPr/>
        <w:tc>
          <w:tcPr>
            <w:tcW w:w="802" w:type="dxa"/>
            <w:tcBorders/>
            <w:vAlign w:val="center"/>
          </w:tcPr>
          <w:p w14:paraId="02523BC4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59542E25">
            <w:pPr>
              <w:pStyle w:val="style0"/>
              <w:jc w:val="both"/>
              <w:rPr/>
            </w:pPr>
            <w:r>
              <w:t>Алгоритм дій при виявленні мін та вибухонебезпечних пр</w:t>
            </w:r>
            <w:r>
              <w:t>едметів</w:t>
            </w:r>
          </w:p>
        </w:tc>
        <w:tc>
          <w:tcPr>
            <w:tcW w:w="1177" w:type="dxa"/>
            <w:tcBorders/>
            <w:vAlign w:val="center"/>
          </w:tcPr>
          <w:p w14:paraId="483E9513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85993951">
        <w:tblPrEx/>
        <w:trPr/>
        <w:tc>
          <w:tcPr>
            <w:tcW w:w="802" w:type="dxa"/>
            <w:tcBorders/>
            <w:vAlign w:val="center"/>
          </w:tcPr>
          <w:p w14:paraId="E7ABFFE0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EAEAEE52">
            <w:pPr>
              <w:pStyle w:val="style0"/>
              <w:jc w:val="both"/>
              <w:rPr/>
            </w:pPr>
            <w:r>
              <w:t xml:space="preserve">Тактичні прийоми застосування БпЛА. Основи протидії </w:t>
            </w:r>
            <w:r>
              <w:rPr>
                <w:lang w:val="en-US"/>
              </w:rPr>
              <w:t>FPV</w:t>
            </w:r>
            <w:r>
              <w:t>-дронів</w:t>
            </w:r>
          </w:p>
        </w:tc>
        <w:tc>
          <w:tcPr>
            <w:tcW w:w="1177" w:type="dxa"/>
            <w:tcBorders/>
            <w:vAlign w:val="center"/>
          </w:tcPr>
          <w:p w14:paraId="3362DF23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D60C4DEE">
        <w:tblPrEx/>
        <w:trPr/>
        <w:tc>
          <w:tcPr>
            <w:tcW w:w="802" w:type="dxa"/>
            <w:tcBorders/>
            <w:vAlign w:val="center"/>
          </w:tcPr>
          <w:p w14:paraId="A9D2247B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</w:p>
        </w:tc>
        <w:tc>
          <w:tcPr>
            <w:tcW w:w="7366" w:type="dxa"/>
            <w:tcBorders/>
          </w:tcPr>
          <w:p w14:paraId="1D0CD136"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Модуль 5</w:t>
            </w:r>
            <w:r>
              <w:rPr>
                <w:b/>
              </w:rPr>
              <w:t xml:space="preserve"> </w:t>
            </w:r>
            <w:r>
              <w:t>Вогнева підготовка. Виживання та спеціальна підготовка</w:t>
            </w:r>
          </w:p>
        </w:tc>
        <w:tc>
          <w:tcPr>
            <w:tcW w:w="1177" w:type="dxa"/>
            <w:tcBorders/>
            <w:vAlign w:val="center"/>
          </w:tcPr>
          <w:p w14:paraId="DD689466">
            <w:pPr>
              <w:pStyle w:val="style94"/>
              <w:spacing w:before="0" w:beforeAutospacing="false" w:after="0" w:afterAutospacing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14:paraId="A231DCEF">
        <w:tblPrEx/>
        <w:trPr/>
        <w:tc>
          <w:tcPr>
            <w:tcW w:w="802" w:type="dxa"/>
            <w:tcBorders/>
            <w:vAlign w:val="center"/>
          </w:tcPr>
          <w:p w14:paraId="39FF5B2E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F913D205">
            <w:pPr>
              <w:pStyle w:val="style0"/>
              <w:jc w:val="both"/>
              <w:rPr/>
            </w:pPr>
            <w:r>
              <w:t>Призначення та визначення вихідних установок. Нормальні (табличні0 умови стрільби.</w:t>
            </w:r>
          </w:p>
        </w:tc>
        <w:tc>
          <w:tcPr>
            <w:tcW w:w="1177" w:type="dxa"/>
            <w:tcBorders/>
            <w:vAlign w:val="center"/>
          </w:tcPr>
          <w:p w14:paraId="800A5367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8906022F">
        <w:tblPrEx/>
        <w:trPr/>
        <w:tc>
          <w:tcPr>
            <w:tcW w:w="802" w:type="dxa"/>
            <w:tcBorders/>
            <w:vAlign w:val="center"/>
          </w:tcPr>
          <w:p w14:paraId="B6F5C792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7366" w:type="dxa"/>
            <w:tcBorders/>
          </w:tcPr>
          <w:p w14:paraId="C0C61480">
            <w:pPr>
              <w:pStyle w:val="style0"/>
              <w:jc w:val="both"/>
              <w:rPr/>
            </w:pPr>
            <w:r>
              <w:t>Основи виживання в несприятливих умовах та на незнайомій місцевості</w:t>
            </w:r>
          </w:p>
        </w:tc>
        <w:tc>
          <w:tcPr>
            <w:tcW w:w="1177" w:type="dxa"/>
            <w:tcBorders/>
            <w:vAlign w:val="center"/>
          </w:tcPr>
          <w:p w14:paraId="7BB1566F">
            <w:pPr>
              <w:pStyle w:val="style94"/>
              <w:spacing w:before="0" w:beforeAutospacing="false" w:after="0" w:afterAutospacing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14:paraId="4A2FD2D6">
        <w:tblPrEx/>
        <w:trPr/>
        <w:tc>
          <w:tcPr>
            <w:tcW w:w="8168" w:type="dxa"/>
            <w:gridSpan w:val="2"/>
            <w:tcBorders/>
            <w:vAlign w:val="center"/>
          </w:tcPr>
          <w:p w14:paraId="7435E18B">
            <w:pPr>
              <w:pStyle w:val="style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Разом за семестр</w:t>
            </w:r>
          </w:p>
        </w:tc>
        <w:tc>
          <w:tcPr>
            <w:tcW w:w="1177" w:type="dxa"/>
            <w:tcBorders/>
            <w:vAlign w:val="center"/>
          </w:tcPr>
          <w:p w14:paraId="8933911D">
            <w:pPr>
              <w:pStyle w:val="style94"/>
              <w:spacing w:before="0" w:beforeAutospacing="false" w:after="0" w:afterAutospacing="false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</w:tr>
    </w:tbl>
    <w:p w14:paraId="8C71C28E">
      <w:pPr>
        <w:pStyle w:val="style94"/>
        <w:spacing w:before="0" w:beforeAutospacing="false" w:after="0" w:afterAutospacing="false"/>
        <w:jc w:val="center"/>
        <w:rPr>
          <w:color w:val="000000"/>
        </w:rPr>
      </w:pPr>
    </w:p>
    <w:p w14:paraId="0A04B796">
      <w:pPr>
        <w:pStyle w:val="style94"/>
        <w:spacing w:before="0" w:beforeAutospacing="false" w:after="0" w:afterAutospacing="false"/>
        <w:jc w:val="center"/>
        <w:rPr>
          <w:bCs/>
          <w:color w:val="000000"/>
        </w:rPr>
      </w:pPr>
      <w:r>
        <w:rPr>
          <w:b/>
          <w:bCs/>
          <w:color w:val="000000"/>
        </w:rPr>
        <w:t>9. Індивідуальні завдання</w:t>
      </w:r>
      <w:r>
        <w:rPr>
          <w:bCs/>
          <w:color w:val="000000"/>
        </w:rPr>
        <w:t xml:space="preserve">– </w:t>
      </w:r>
      <w:r>
        <w:rPr>
          <w:bCs/>
          <w:color w:val="000000"/>
        </w:rPr>
        <w:t>не передбачено</w:t>
      </w:r>
    </w:p>
    <w:p w14:paraId="57550D2E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  <w:sz w:val="28"/>
          <w:szCs w:val="28"/>
        </w:rPr>
      </w:pPr>
    </w:p>
    <w:p w14:paraId="8A543CAB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  <w:sz w:val="28"/>
          <w:szCs w:val="28"/>
        </w:rPr>
      </w:pPr>
    </w:p>
    <w:p w14:paraId="55C30DA5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  <w:sz w:val="28"/>
          <w:szCs w:val="28"/>
        </w:rPr>
      </w:pPr>
    </w:p>
    <w:p w14:paraId="ED240C46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10</w:t>
      </w:r>
      <w:r>
        <w:rPr>
          <w:b/>
          <w:bCs/>
          <w:color w:val="000000"/>
        </w:rPr>
        <w:t>. Методи контролю</w:t>
      </w:r>
    </w:p>
    <w:p w14:paraId="847109D3">
      <w:pPr>
        <w:pStyle w:val="style94"/>
        <w:spacing w:before="0" w:beforeAutospacing="false" w:after="0" w:afterAutospacing="false"/>
        <w:ind w:firstLine="709"/>
        <w:jc w:val="both"/>
        <w:rPr/>
      </w:pPr>
      <w:r>
        <w:t>При викладанні тем застосовуються такі методи контролю:</w:t>
      </w:r>
    </w:p>
    <w:p w14:paraId="F2E1944A">
      <w:pPr>
        <w:pStyle w:val="style94"/>
        <w:spacing w:before="0" w:beforeAutospacing="false" w:after="0" w:afterAutospacing="false"/>
        <w:ind w:firstLine="709"/>
        <w:jc w:val="both"/>
        <w:rPr/>
      </w:pPr>
      <w:r>
        <w:t>-</w:t>
      </w:r>
      <w:r>
        <w:t xml:space="preserve"> поточний (включаючи оцінювання виконання практичних нормативів), </w:t>
      </w:r>
    </w:p>
    <w:p w14:paraId="D8CE01C4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- </w:t>
      </w:r>
      <w:r>
        <w:t xml:space="preserve">тематичний, </w:t>
      </w:r>
    </w:p>
    <w:p w14:paraId="0CD9B7E9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- </w:t>
      </w:r>
      <w:r>
        <w:t xml:space="preserve">самоконтроль. </w:t>
      </w:r>
    </w:p>
    <w:p w14:paraId="18C0FDE0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Обов’язковим елементом поточного контролю є перевірка практичних навичок - виконання встановлених нормативів з захисту від зброї масового ураження, домедичної допомоги, вогневої підготовки, тактичних дій. </w:t>
      </w:r>
    </w:p>
    <w:p w14:paraId="4D97BCF8">
      <w:pPr>
        <w:pStyle w:val="style94"/>
        <w:spacing w:before="0" w:beforeAutospacing="false" w:after="0" w:afterAutospacing="false"/>
        <w:ind w:firstLine="709"/>
        <w:jc w:val="both"/>
        <w:rPr/>
      </w:pPr>
      <w:r>
        <w:t xml:space="preserve">Після закінчення вивчення навчальної дисципліни проводиться диференційований залік з обов’язковою практичною складовою. </w:t>
      </w:r>
    </w:p>
    <w:p w14:paraId="1F532E3B">
      <w:pPr>
        <w:pStyle w:val="style0"/>
        <w:spacing w:before="100" w:beforeAutospacing="true" w:after="100" w:afterAutospacing="true"/>
        <w:ind w:left="142" w:firstLine="425"/>
        <w:jc w:val="center"/>
        <w:rPr>
          <w:b/>
          <w:lang w:eastAsia="ru-RU"/>
        </w:rPr>
      </w:pPr>
      <w:r>
        <w:rPr>
          <w:b/>
          <w:lang w:eastAsia="ru-RU"/>
        </w:rPr>
        <w:t xml:space="preserve">9. Розподіл балів, які отримують студенти </w:t>
      </w:r>
    </w:p>
    <w:tbl>
      <w:tblPr>
        <w:tblW w:w="1471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84"/>
        <w:gridCol w:w="283"/>
        <w:gridCol w:w="426"/>
        <w:gridCol w:w="567"/>
        <w:gridCol w:w="425"/>
        <w:gridCol w:w="567"/>
        <w:gridCol w:w="567"/>
        <w:gridCol w:w="425"/>
        <w:gridCol w:w="567"/>
        <w:gridCol w:w="709"/>
        <w:gridCol w:w="425"/>
        <w:gridCol w:w="425"/>
        <w:gridCol w:w="426"/>
        <w:gridCol w:w="425"/>
        <w:gridCol w:w="567"/>
        <w:gridCol w:w="567"/>
        <w:gridCol w:w="567"/>
        <w:gridCol w:w="2239"/>
        <w:gridCol w:w="567"/>
        <w:gridCol w:w="709"/>
        <w:gridCol w:w="1559"/>
      </w:tblGrid>
      <w:tr w14:paraId="55DE144B">
        <w:trPr>
          <w:gridAfter w:val="20"/>
          <w:wAfter w:w="13012" w:type="dxa"/>
          <w:trHeight w:val="562" w:hRule="atLeast"/>
        </w:trPr>
        <w:tc>
          <w:tcPr>
            <w:tcW w:w="1702" w:type="dxa"/>
            <w:gridSpan w:val="3"/>
            <w:tcBorders/>
            <w:shd w:val="pct10" w:color="auto" w:fill="auto"/>
          </w:tcPr>
          <w:p w14:paraId="6796FD34">
            <w:pPr>
              <w:pStyle w:val="style0"/>
              <w:keepNext/>
              <w:jc w:val="center"/>
              <w:outlineLvl w:val="6"/>
              <w:rPr>
                <w:b/>
                <w:bCs/>
                <w:i/>
                <w:lang w:eastAsia="ru-RU"/>
              </w:rPr>
            </w:pPr>
          </w:p>
        </w:tc>
      </w:tr>
      <w:tr w14:paraId="1AB7510D">
        <w:tblPrEx/>
        <w:trPr/>
        <w:tc>
          <w:tcPr>
            <w:tcW w:w="2411" w:type="dxa"/>
            <w:gridSpan w:val="5"/>
            <w:tcBorders/>
          </w:tcPr>
          <w:p w14:paraId="2F0F8B30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Змістовий </w:t>
            </w:r>
          </w:p>
          <w:p w14:paraId="1238A66E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модуль №1</w:t>
            </w:r>
          </w:p>
        </w:tc>
        <w:tc>
          <w:tcPr>
            <w:tcW w:w="1559" w:type="dxa"/>
            <w:gridSpan w:val="3"/>
            <w:tcBorders/>
          </w:tcPr>
          <w:p w14:paraId="965F2D18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Змістовий</w:t>
            </w:r>
          </w:p>
          <w:p w14:paraId="DD3CCA85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 модуль №2</w:t>
            </w:r>
          </w:p>
        </w:tc>
        <w:tc>
          <w:tcPr>
            <w:tcW w:w="2268" w:type="dxa"/>
            <w:gridSpan w:val="4"/>
            <w:tcBorders/>
          </w:tcPr>
          <w:p w14:paraId="F00AAB6F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Змістовий </w:t>
            </w:r>
          </w:p>
          <w:p w14:paraId="D119ACF2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модуль №3</w:t>
            </w:r>
          </w:p>
        </w:tc>
        <w:tc>
          <w:tcPr>
            <w:tcW w:w="1701" w:type="dxa"/>
            <w:gridSpan w:val="4"/>
            <w:tcBorders/>
          </w:tcPr>
          <w:p w14:paraId="7216F61A">
            <w:pPr>
              <w:pStyle w:val="style0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Змістовий модуль №4</w:t>
            </w:r>
          </w:p>
          <w:p w14:paraId="F181958F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</w:p>
        </w:tc>
        <w:tc>
          <w:tcPr>
            <w:tcW w:w="5216" w:type="dxa"/>
            <w:gridSpan w:val="6"/>
            <w:tcBorders/>
            <w:shd w:val="clear" w:color="auto" w:fill="auto"/>
            <w:vAlign w:val="center"/>
          </w:tcPr>
          <w:p w14:paraId="91640ACC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 xml:space="preserve">Змістовий </w:t>
            </w:r>
          </w:p>
          <w:p w14:paraId="CE0F09FD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модуль №5</w:t>
            </w:r>
          </w:p>
        </w:tc>
        <w:tc>
          <w:tcPr>
            <w:tcW w:w="1559" w:type="dxa"/>
            <w:vMerge w:val="restart"/>
            <w:tcBorders/>
            <w:shd w:val="clear" w:color="auto" w:fill="auto"/>
          </w:tcPr>
          <w:p w14:paraId="8F379BB7">
            <w:pPr>
              <w:pStyle w:val="style0"/>
              <w:rPr/>
            </w:pPr>
            <w:r>
              <w:t>Залік</w:t>
            </w:r>
          </w:p>
          <w:p w14:paraId="1C71EB6A">
            <w:pPr>
              <w:pStyle w:val="style0"/>
              <w:rPr/>
            </w:pPr>
          </w:p>
          <w:p w14:paraId="39CC601F">
            <w:pPr>
              <w:pStyle w:val="style0"/>
              <w:rPr/>
            </w:pPr>
          </w:p>
          <w:p w14:paraId="95FD76B5">
            <w:pPr>
              <w:pStyle w:val="style0"/>
              <w:rPr/>
            </w:pPr>
          </w:p>
          <w:p w14:paraId="77C1D68B">
            <w:pPr>
              <w:pStyle w:val="style0"/>
              <w:rPr/>
            </w:pPr>
            <w:r>
              <w:t>4</w:t>
            </w:r>
          </w:p>
        </w:tc>
      </w:tr>
      <w:tr w14:paraId="A6A15FF2">
        <w:tblPrEx/>
        <w:trPr/>
        <w:tc>
          <w:tcPr>
            <w:tcW w:w="851" w:type="dxa"/>
            <w:tcBorders/>
            <w:shd w:val="clear" w:color="auto" w:fill="auto"/>
          </w:tcPr>
          <w:p w14:paraId="AF8B3C24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567" w:type="dxa"/>
            <w:tcBorders/>
            <w:shd w:val="clear" w:color="auto" w:fill="auto"/>
          </w:tcPr>
          <w:p w14:paraId="EA08077D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gridSpan w:val="2"/>
            <w:tcBorders/>
            <w:shd w:val="clear" w:color="auto" w:fill="auto"/>
          </w:tcPr>
          <w:p w14:paraId="E75C8186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426" w:type="dxa"/>
            <w:tcBorders/>
            <w:shd w:val="clear" w:color="auto" w:fill="auto"/>
          </w:tcPr>
          <w:p w14:paraId="A6477811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567" w:type="dxa"/>
            <w:tcBorders/>
            <w:shd w:val="clear" w:color="auto" w:fill="auto"/>
          </w:tcPr>
          <w:p w14:paraId="164C85AA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425" w:type="dxa"/>
            <w:tcBorders/>
            <w:shd w:val="clear" w:color="auto" w:fill="auto"/>
          </w:tcPr>
          <w:p w14:paraId="7A1CE76C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tcBorders/>
            <w:shd w:val="clear" w:color="auto" w:fill="auto"/>
          </w:tcPr>
          <w:p w14:paraId="C75A299D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567" w:type="dxa"/>
            <w:tcBorders/>
            <w:shd w:val="clear" w:color="auto" w:fill="auto"/>
          </w:tcPr>
          <w:p w14:paraId="7F83933E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425" w:type="dxa"/>
            <w:tcBorders/>
            <w:shd w:val="clear" w:color="auto" w:fill="auto"/>
          </w:tcPr>
          <w:p w14:paraId="BCA5BE34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tcBorders/>
            <w:shd w:val="clear" w:color="auto" w:fill="auto"/>
          </w:tcPr>
          <w:p w14:paraId="B7BBF188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709" w:type="dxa"/>
            <w:tcBorders/>
            <w:shd w:val="clear" w:color="auto" w:fill="auto"/>
          </w:tcPr>
          <w:p w14:paraId="148FE912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425" w:type="dxa"/>
            <w:tcBorders/>
            <w:shd w:val="clear" w:color="auto" w:fill="auto"/>
          </w:tcPr>
          <w:p w14:paraId="996DF2E6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425" w:type="dxa"/>
            <w:tcBorders/>
          </w:tcPr>
          <w:p w14:paraId="54298183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426" w:type="dxa"/>
            <w:tcBorders/>
          </w:tcPr>
          <w:p w14:paraId="4014D9BC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425" w:type="dxa"/>
            <w:tcBorders/>
            <w:shd w:val="clear" w:color="auto" w:fill="auto"/>
          </w:tcPr>
          <w:p w14:paraId="FAD3EBE1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567" w:type="dxa"/>
            <w:tcBorders/>
            <w:shd w:val="clear" w:color="auto" w:fill="auto"/>
          </w:tcPr>
          <w:p w14:paraId="AB12AB19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Т1</w:t>
            </w:r>
          </w:p>
        </w:tc>
        <w:tc>
          <w:tcPr>
            <w:tcW w:w="567" w:type="dxa"/>
            <w:tcBorders/>
            <w:shd w:val="clear" w:color="auto" w:fill="auto"/>
          </w:tcPr>
          <w:p w14:paraId="5EFBAE9F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Т2</w:t>
            </w:r>
          </w:p>
        </w:tc>
        <w:tc>
          <w:tcPr>
            <w:tcW w:w="567" w:type="dxa"/>
            <w:tcBorders/>
            <w:shd w:val="clear" w:color="auto" w:fill="auto"/>
          </w:tcPr>
          <w:p w14:paraId="B5ADFBA7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Т3</w:t>
            </w:r>
          </w:p>
        </w:tc>
        <w:tc>
          <w:tcPr>
            <w:tcW w:w="2239" w:type="dxa"/>
            <w:tcBorders/>
            <w:shd w:val="clear" w:color="auto" w:fill="auto"/>
          </w:tcPr>
          <w:p w14:paraId="FE026361">
            <w:pPr>
              <w:pStyle w:val="style0"/>
              <w:keepNext/>
              <w:spacing w:lineRule="auto" w:line="360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Т4</w:t>
            </w:r>
          </w:p>
        </w:tc>
        <w:tc>
          <w:tcPr>
            <w:tcW w:w="567" w:type="dxa"/>
            <w:tcBorders/>
            <w:shd w:val="clear" w:color="auto" w:fill="auto"/>
          </w:tcPr>
          <w:p w14:paraId="4EA0429E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Т5</w:t>
            </w:r>
          </w:p>
        </w:tc>
        <w:tc>
          <w:tcPr>
            <w:tcW w:w="709" w:type="dxa"/>
            <w:tcBorders/>
            <w:shd w:val="clear" w:color="auto" w:fill="auto"/>
          </w:tcPr>
          <w:p w14:paraId="22009E79">
            <w:pPr>
              <w:pStyle w:val="style0"/>
              <w:keepNext/>
              <w:spacing w:lineRule="auto" w:line="360"/>
              <w:jc w:val="center"/>
              <w:outlineLvl w:val="6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Кр</w:t>
            </w:r>
          </w:p>
        </w:tc>
        <w:tc>
          <w:tcPr>
            <w:tcW w:w="1559" w:type="dxa"/>
            <w:vMerge w:val="continue"/>
            <w:tcBorders/>
            <w:shd w:val="clear" w:color="auto" w:fill="auto"/>
          </w:tcPr>
          <w:p w14:paraId="13FF4949">
            <w:pPr>
              <w:pStyle w:val="style0"/>
              <w:rPr/>
            </w:pPr>
          </w:p>
        </w:tc>
      </w:tr>
      <w:tr w14:paraId="A5D57E59">
        <w:tblPrEx/>
        <w:trPr/>
        <w:tc>
          <w:tcPr>
            <w:tcW w:w="851" w:type="dxa"/>
            <w:tcBorders/>
            <w:shd w:val="clear" w:color="auto" w:fill="auto"/>
          </w:tcPr>
          <w:p w14:paraId="66F4E9EF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</w:t>
            </w:r>
          </w:p>
        </w:tc>
        <w:tc>
          <w:tcPr>
            <w:tcW w:w="567" w:type="dxa"/>
            <w:tcBorders/>
            <w:shd w:val="clear" w:color="auto" w:fill="auto"/>
          </w:tcPr>
          <w:p w14:paraId="897B0894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1/3</w:t>
            </w:r>
          </w:p>
        </w:tc>
        <w:tc>
          <w:tcPr>
            <w:tcW w:w="567" w:type="dxa"/>
            <w:gridSpan w:val="2"/>
            <w:tcBorders/>
            <w:shd w:val="clear" w:color="auto" w:fill="auto"/>
          </w:tcPr>
          <w:p w14:paraId="436520BE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3+1</w:t>
            </w:r>
          </w:p>
        </w:tc>
        <w:tc>
          <w:tcPr>
            <w:tcW w:w="426" w:type="dxa"/>
            <w:tcBorders/>
            <w:shd w:val="clear" w:color="auto" w:fill="auto"/>
          </w:tcPr>
          <w:p w14:paraId="B1648297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1/3</w:t>
            </w:r>
          </w:p>
        </w:tc>
        <w:tc>
          <w:tcPr>
            <w:tcW w:w="567" w:type="dxa"/>
            <w:tcBorders/>
            <w:shd w:val="clear" w:color="auto" w:fill="auto"/>
          </w:tcPr>
          <w:p w14:paraId="E79C1329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51DDC7AE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ECE711DA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8A925F85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6E605B37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442CE064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709" w:type="dxa"/>
            <w:tcBorders/>
            <w:shd w:val="clear" w:color="auto" w:fill="auto"/>
          </w:tcPr>
          <w:p w14:paraId="299F4756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A6198949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</w:tcPr>
          <w:p w14:paraId="3FFD5C7D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6" w:type="dxa"/>
            <w:tcBorders/>
          </w:tcPr>
          <w:p w14:paraId="50796B80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425" w:type="dxa"/>
            <w:tcBorders/>
            <w:shd w:val="clear" w:color="auto" w:fill="auto"/>
          </w:tcPr>
          <w:p w14:paraId="1FB2B528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567" w:type="dxa"/>
            <w:tcBorders/>
            <w:shd w:val="clear" w:color="auto" w:fill="auto"/>
          </w:tcPr>
          <w:p w14:paraId="A208BE9E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567" w:type="dxa"/>
            <w:tcBorders/>
            <w:shd w:val="clear" w:color="auto" w:fill="auto"/>
          </w:tcPr>
          <w:p w14:paraId="546A38FD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567" w:type="dxa"/>
            <w:tcBorders/>
            <w:shd w:val="clear" w:color="auto" w:fill="auto"/>
          </w:tcPr>
          <w:p w14:paraId="F881E77F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2239" w:type="dxa"/>
            <w:tcBorders/>
            <w:shd w:val="clear" w:color="auto" w:fill="auto"/>
          </w:tcPr>
          <w:p w14:paraId="EA35E1C6">
            <w:pPr>
              <w:pStyle w:val="style0"/>
              <w:keepNext/>
              <w:spacing w:lineRule="auto" w:line="360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567" w:type="dxa"/>
            <w:tcBorders/>
            <w:shd w:val="clear" w:color="auto" w:fill="auto"/>
          </w:tcPr>
          <w:p w14:paraId="BFA8615B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3+5</w:t>
            </w:r>
          </w:p>
        </w:tc>
        <w:tc>
          <w:tcPr>
            <w:tcW w:w="709" w:type="dxa"/>
            <w:tcBorders/>
            <w:shd w:val="clear" w:color="auto" w:fill="auto"/>
          </w:tcPr>
          <w:p w14:paraId="54110D57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3</w:t>
            </w:r>
          </w:p>
        </w:tc>
        <w:tc>
          <w:tcPr>
            <w:tcW w:w="1559" w:type="dxa"/>
            <w:vMerge w:val="continue"/>
            <w:tcBorders/>
            <w:shd w:val="clear" w:color="auto" w:fill="auto"/>
          </w:tcPr>
          <w:p w14:paraId="1394FF41">
            <w:pPr>
              <w:pStyle w:val="style0"/>
              <w:rPr/>
            </w:pPr>
          </w:p>
        </w:tc>
      </w:tr>
      <w:tr w14:paraId="33703FB3">
        <w:tblPrEx/>
        <w:trPr/>
        <w:tc>
          <w:tcPr>
            <w:tcW w:w="2411" w:type="dxa"/>
            <w:gridSpan w:val="5"/>
            <w:tcBorders/>
          </w:tcPr>
          <w:p w14:paraId="E83FF175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14</w:t>
            </w:r>
          </w:p>
        </w:tc>
        <w:tc>
          <w:tcPr>
            <w:tcW w:w="1559" w:type="dxa"/>
            <w:gridSpan w:val="3"/>
            <w:tcBorders/>
          </w:tcPr>
          <w:p w14:paraId="A84CF057">
            <w:pPr>
              <w:pStyle w:val="style0"/>
              <w:keepNext/>
              <w:spacing w:lineRule="auto" w:line="360"/>
              <w:jc w:val="center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9+3 опитув. = 12</w:t>
            </w:r>
          </w:p>
        </w:tc>
        <w:tc>
          <w:tcPr>
            <w:tcW w:w="3969" w:type="dxa"/>
            <w:gridSpan w:val="8"/>
            <w:tcBorders/>
          </w:tcPr>
          <w:p w14:paraId="CF0FBB8E">
            <w:pPr>
              <w:pStyle w:val="style0"/>
              <w:keepNext/>
              <w:spacing w:lineRule="auto" w:line="360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12+4 опитування            12+4</w:t>
            </w:r>
          </w:p>
        </w:tc>
        <w:tc>
          <w:tcPr>
            <w:tcW w:w="5216" w:type="dxa"/>
            <w:gridSpan w:val="6"/>
            <w:tcBorders/>
            <w:shd w:val="clear" w:color="auto" w:fill="auto"/>
          </w:tcPr>
          <w:p w14:paraId="96E9E6DD">
            <w:pPr>
              <w:pStyle w:val="style0"/>
              <w:keepNext/>
              <w:spacing w:lineRule="auto" w:line="360"/>
              <w:outlineLvl w:val="6"/>
              <w:rPr>
                <w:b/>
                <w:bCs/>
                <w:i/>
                <w:lang w:eastAsia="ru-RU"/>
              </w:rPr>
            </w:pPr>
            <w:r>
              <w:rPr>
                <w:b/>
                <w:bCs/>
                <w:i/>
                <w:lang w:eastAsia="ru-RU"/>
              </w:rPr>
              <w:t>18+20 (письмові роботи)</w:t>
            </w:r>
          </w:p>
        </w:tc>
        <w:tc>
          <w:tcPr>
            <w:tcW w:w="1559" w:type="dxa"/>
            <w:vMerge w:val="continue"/>
            <w:tcBorders/>
            <w:shd w:val="clear" w:color="auto" w:fill="auto"/>
          </w:tcPr>
          <w:p w14:paraId="BB90F789">
            <w:pPr>
              <w:pStyle w:val="style0"/>
              <w:rPr/>
            </w:pPr>
          </w:p>
        </w:tc>
      </w:tr>
    </w:tbl>
    <w:p w14:paraId="E8B79ECA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lang w:eastAsia="ru-RU"/>
        </w:rPr>
        <w:t xml:space="preserve">Практична робота – </w:t>
      </w:r>
      <w:r>
        <w:rPr>
          <w:i/>
          <w:lang w:val="en-US" w:eastAsia="ru-RU"/>
        </w:rPr>
        <w:t>max</w:t>
      </w:r>
      <w:r>
        <w:rPr>
          <w:lang w:eastAsia="ru-RU"/>
        </w:rPr>
        <w:t xml:space="preserve"> 3 бали (№1-14 – по 3 бали, №15 – 6 балів)</w:t>
      </w:r>
      <w:r>
        <w:rPr>
          <w:b/>
          <w:lang w:eastAsia="ru-RU"/>
        </w:rPr>
        <w:t xml:space="preserve"> - загалом 48 балів;</w:t>
      </w:r>
    </w:p>
    <w:p w14:paraId="362C60DA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lang w:eastAsia="ru-RU"/>
        </w:rPr>
        <w:t xml:space="preserve">самостійна робота (незалежно від кількості годин) – </w:t>
      </w:r>
      <w:r>
        <w:rPr>
          <w:i/>
          <w:lang w:val="en-US" w:eastAsia="ru-RU"/>
        </w:rPr>
        <w:t>max</w:t>
      </w:r>
      <w:r>
        <w:rPr>
          <w:lang w:eastAsia="ru-RU"/>
        </w:rPr>
        <w:t xml:space="preserve"> 1 бал – </w:t>
      </w:r>
      <w:r>
        <w:rPr>
          <w:b/>
          <w:lang w:eastAsia="ru-RU"/>
        </w:rPr>
        <w:t>загалом 9 балів;</w:t>
      </w:r>
    </w:p>
    <w:p w14:paraId="44032FE9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lang w:eastAsia="ru-RU"/>
        </w:rPr>
        <w:t xml:space="preserve">усне (письмове) опитування наприкінці 2,3,4 змістових модулів – по 5 балів – </w:t>
      </w:r>
      <w:r>
        <w:rPr>
          <w:b/>
          <w:lang w:eastAsia="ru-RU"/>
        </w:rPr>
        <w:t>загалом 3 балів.</w:t>
      </w:r>
    </w:p>
    <w:p w14:paraId="2C9B44D8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rPr>
          <w:b/>
          <w:lang w:eastAsia="ru-RU"/>
        </w:rPr>
      </w:pPr>
      <w:r>
        <w:rPr>
          <w:b/>
          <w:lang w:eastAsia="ru-RU"/>
        </w:rPr>
        <w:t>РАЗОМ- 100 балів</w:t>
      </w:r>
    </w:p>
    <w:p w14:paraId="9A82C1A8">
      <w:pPr>
        <w:pStyle w:val="style0"/>
        <w:spacing w:before="100" w:beforeAutospacing="true" w:after="100" w:afterAutospacing="true"/>
        <w:ind w:left="142" w:firstLine="425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Оцінювання самостійної роботи студентів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9"/>
        <w:gridCol w:w="2916"/>
        <w:gridCol w:w="1375"/>
        <w:gridCol w:w="2998"/>
      </w:tblGrid>
      <w:tr w14:paraId="268D1E05">
        <w:trPr>
          <w:trHeight w:val="6" w:hRule="atLeast"/>
        </w:trPr>
        <w:tc>
          <w:tcPr>
            <w:tcW w:w="2719" w:type="dxa"/>
            <w:tcBorders/>
            <w:shd w:val="clear" w:color="auto" w:fill="auto"/>
            <w:vAlign w:val="center"/>
          </w:tcPr>
          <w:p w14:paraId="B6D1B2D1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Складові самостійної роботи</w:t>
            </w:r>
          </w:p>
        </w:tc>
        <w:tc>
          <w:tcPr>
            <w:tcW w:w="2916" w:type="dxa"/>
            <w:tcBorders/>
            <w:shd w:val="clear" w:color="auto" w:fill="auto"/>
            <w:vAlign w:val="center"/>
          </w:tcPr>
          <w:p w14:paraId="401CEA8C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Критерії оцінювання</w:t>
            </w:r>
          </w:p>
        </w:tc>
        <w:tc>
          <w:tcPr>
            <w:tcW w:w="1375" w:type="dxa"/>
            <w:tcBorders/>
            <w:shd w:val="clear" w:color="auto" w:fill="auto"/>
            <w:vAlign w:val="center"/>
          </w:tcPr>
          <w:p w14:paraId="88730B09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Кількість балів</w:t>
            </w:r>
          </w:p>
        </w:tc>
        <w:tc>
          <w:tcPr>
            <w:tcW w:w="2998" w:type="dxa"/>
            <w:tcBorders/>
            <w:shd w:val="clear" w:color="auto" w:fill="auto"/>
            <w:vAlign w:val="center"/>
          </w:tcPr>
          <w:p w14:paraId="0907409C">
            <w:pPr>
              <w:pStyle w:val="style0"/>
              <w:spacing w:after="100" w:afterAutospacing="true"/>
              <w:jc w:val="center"/>
              <w:rPr>
                <w:bCs/>
                <w:i/>
                <w:lang w:eastAsia="ru-RU"/>
              </w:rPr>
            </w:pPr>
            <w:r>
              <w:rPr>
                <w:bCs/>
                <w:i/>
                <w:lang w:eastAsia="ru-RU"/>
              </w:rPr>
              <w:t>Теми змістових модулів, які передбачають виконання складової</w:t>
            </w:r>
          </w:p>
        </w:tc>
      </w:tr>
      <w:tr w14:paraId="D98E0FF5">
        <w:tblPrEx/>
        <w:trPr>
          <w:trHeight w:val="3" w:hRule="atLeast"/>
        </w:trPr>
        <w:tc>
          <w:tcPr>
            <w:tcW w:w="2719" w:type="dxa"/>
            <w:vMerge w:val="restart"/>
            <w:tcBorders/>
            <w:shd w:val="clear" w:color="auto" w:fill="auto"/>
            <w:vAlign w:val="center"/>
          </w:tcPr>
          <w:p w14:paraId="915DE53C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Конспект з теми</w:t>
            </w:r>
          </w:p>
        </w:tc>
        <w:tc>
          <w:tcPr>
            <w:tcW w:w="2916" w:type="dxa"/>
            <w:tcBorders/>
            <w:shd w:val="clear" w:color="auto" w:fill="auto"/>
            <w:vAlign w:val="center"/>
          </w:tcPr>
          <w:p w14:paraId="810A9F2B">
            <w:pPr>
              <w:pStyle w:val="style0"/>
              <w:spacing w:before="120" w:after="12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Повнота розкриття теми</w:t>
            </w:r>
            <w:r>
              <w:rPr>
                <w:bCs/>
                <w:lang w:eastAsia="ru-RU"/>
              </w:rPr>
              <w:t xml:space="preserve"> </w:t>
            </w:r>
          </w:p>
        </w:tc>
        <w:tc>
          <w:tcPr>
            <w:tcW w:w="1375" w:type="dxa"/>
            <w:tcBorders/>
            <w:shd w:val="clear" w:color="auto" w:fill="auto"/>
            <w:vAlign w:val="center"/>
          </w:tcPr>
          <w:p w14:paraId="729BB095">
            <w:pPr>
              <w:pStyle w:val="style0"/>
              <w:spacing w:before="120" w:after="12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 або 1,0</w:t>
            </w:r>
          </w:p>
        </w:tc>
        <w:tc>
          <w:tcPr>
            <w:tcW w:w="2998" w:type="dxa"/>
            <w:vMerge w:val="restart"/>
            <w:tcBorders/>
            <w:shd w:val="clear" w:color="auto" w:fill="auto"/>
            <w:vAlign w:val="center"/>
          </w:tcPr>
          <w:p w14:paraId="CBEAD510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ЗМ1: Т1-Т4;</w:t>
            </w:r>
          </w:p>
          <w:p w14:paraId="0BF20DD1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ЗМ2: Т3-Т7;</w:t>
            </w:r>
          </w:p>
          <w:p w14:paraId="25526744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ЗМ3: Т1, Т3, Т5</w:t>
            </w:r>
          </w:p>
          <w:p w14:paraId="108BAFE7">
            <w:pPr>
              <w:pStyle w:val="style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ЗМ4: Т2, Т5</w:t>
            </w:r>
          </w:p>
        </w:tc>
      </w:tr>
      <w:tr w14:paraId="4BC4623C">
        <w:tblPrEx/>
        <w:trPr>
          <w:trHeight w:val="7" w:hRule="atLeast"/>
        </w:trPr>
        <w:tc>
          <w:tcPr>
            <w:tcW w:w="2719" w:type="dxa"/>
            <w:vMerge w:val="continue"/>
            <w:tcBorders/>
            <w:shd w:val="clear" w:color="auto" w:fill="auto"/>
            <w:vAlign w:val="center"/>
          </w:tcPr>
          <w:p w14:paraId="9347F486">
            <w:pPr>
              <w:pStyle w:val="style0"/>
              <w:rPr>
                <w:bCs/>
                <w:lang w:eastAsia="ru-RU"/>
              </w:rPr>
            </w:pPr>
          </w:p>
        </w:tc>
        <w:tc>
          <w:tcPr>
            <w:tcW w:w="2916" w:type="dxa"/>
            <w:tcBorders/>
            <w:shd w:val="clear" w:color="auto" w:fill="auto"/>
            <w:vAlign w:val="center"/>
          </w:tcPr>
          <w:p w14:paraId="E4CA8E5F">
            <w:pPr>
              <w:pStyle w:val="style0"/>
              <w:spacing w:before="120" w:after="120"/>
              <w:rPr>
                <w:bCs/>
                <w:lang w:eastAsia="ru-RU"/>
              </w:rPr>
            </w:pPr>
          </w:p>
        </w:tc>
        <w:tc>
          <w:tcPr>
            <w:tcW w:w="1375" w:type="dxa"/>
            <w:tcBorders/>
            <w:shd w:val="clear" w:color="auto" w:fill="auto"/>
            <w:vAlign w:val="center"/>
          </w:tcPr>
          <w:p w14:paraId="A80B89C2">
            <w:pPr>
              <w:pStyle w:val="style0"/>
              <w:spacing w:before="120" w:after="12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 або 0,5</w:t>
            </w:r>
          </w:p>
        </w:tc>
        <w:tc>
          <w:tcPr>
            <w:tcW w:w="2998" w:type="dxa"/>
            <w:vMerge w:val="continue"/>
            <w:tcBorders/>
            <w:shd w:val="clear" w:color="auto" w:fill="auto"/>
            <w:vAlign w:val="center"/>
          </w:tcPr>
          <w:p w14:paraId="0121010A">
            <w:pPr>
              <w:pStyle w:val="style0"/>
              <w:spacing w:after="100" w:afterAutospacing="true"/>
              <w:rPr>
                <w:bCs/>
                <w:lang w:val="ru-RU" w:eastAsia="ru-RU"/>
              </w:rPr>
            </w:pPr>
          </w:p>
        </w:tc>
      </w:tr>
    </w:tbl>
    <w:p w14:paraId="0BC664A1">
      <w:pPr>
        <w:pStyle w:val="style0"/>
        <w:spacing w:after="120"/>
        <w:rPr>
          <w:b/>
          <w:bCs/>
          <w:sz w:val="28"/>
          <w:lang w:eastAsia="ru-RU"/>
        </w:rPr>
      </w:pPr>
    </w:p>
    <w:p w14:paraId="7CCC8443">
      <w:pPr>
        <w:pStyle w:val="style0"/>
        <w:spacing w:after="100" w:afterAutospacing="true"/>
        <w:jc w:val="center"/>
        <w:rPr>
          <w:bCs/>
          <w:sz w:val="28"/>
          <w:lang w:eastAsia="ru-RU"/>
        </w:rPr>
      </w:pPr>
    </w:p>
    <w:p w14:paraId="36704D47">
      <w:pPr>
        <w:pStyle w:val="style0"/>
        <w:spacing w:after="12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Шкала оцінювання: національна та ECTS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1346"/>
        <w:gridCol w:w="2313"/>
        <w:gridCol w:w="3902"/>
      </w:tblGrid>
      <w:tr w14:paraId="0A6ECF22">
        <w:trPr>
          <w:trHeight w:val="450" w:hRule="atLeast"/>
        </w:trPr>
        <w:tc>
          <w:tcPr>
            <w:tcW w:w="2421" w:type="dxa"/>
            <w:vMerge w:val="restart"/>
            <w:tcBorders/>
            <w:vAlign w:val="center"/>
          </w:tcPr>
          <w:p w14:paraId="F9AE68C7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Сума балів за всі види навчальної діяльності</w:t>
            </w:r>
          </w:p>
        </w:tc>
        <w:tc>
          <w:tcPr>
            <w:tcW w:w="1357" w:type="dxa"/>
            <w:vMerge w:val="restart"/>
            <w:tcBorders/>
            <w:vAlign w:val="center"/>
          </w:tcPr>
          <w:p w14:paraId="59BB3D09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Оцінка</w:t>
            </w:r>
            <w:r>
              <w:rPr>
                <w:b/>
                <w:i/>
                <w:lang w:eastAsia="ru-RU"/>
              </w:rPr>
              <w:t xml:space="preserve"> </w:t>
            </w:r>
            <w:r>
              <w:rPr>
                <w:i/>
                <w:lang w:eastAsia="ru-RU"/>
              </w:rPr>
              <w:t>ECTS</w:t>
            </w:r>
          </w:p>
        </w:tc>
        <w:tc>
          <w:tcPr>
            <w:tcW w:w="6174" w:type="dxa"/>
            <w:gridSpan w:val="2"/>
            <w:tcBorders/>
            <w:vAlign w:val="center"/>
          </w:tcPr>
          <w:p w14:paraId="0D5EDD2A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Оцінка за національною шкалою</w:t>
            </w:r>
          </w:p>
        </w:tc>
      </w:tr>
      <w:tr w14:paraId="A08164F9">
        <w:tblPrEx/>
        <w:trPr>
          <w:trHeight w:val="450" w:hRule="atLeast"/>
        </w:trPr>
        <w:tc>
          <w:tcPr>
            <w:tcW w:w="2421" w:type="dxa"/>
            <w:vMerge w:val="continue"/>
            <w:tcBorders/>
            <w:vAlign w:val="center"/>
          </w:tcPr>
          <w:p w14:paraId="A9018F75">
            <w:pPr>
              <w:pStyle w:val="style0"/>
              <w:jc w:val="center"/>
              <w:rPr>
                <w:i/>
                <w:lang w:eastAsia="ru-RU"/>
              </w:rPr>
            </w:pPr>
          </w:p>
        </w:tc>
        <w:tc>
          <w:tcPr>
            <w:tcW w:w="1357" w:type="dxa"/>
            <w:vMerge w:val="continue"/>
            <w:tcBorders/>
            <w:vAlign w:val="center"/>
          </w:tcPr>
          <w:p w14:paraId="09F9054C">
            <w:pPr>
              <w:pStyle w:val="style0"/>
              <w:jc w:val="center"/>
              <w:rPr>
                <w:i/>
                <w:lang w:eastAsia="ru-RU"/>
              </w:rPr>
            </w:pPr>
          </w:p>
        </w:tc>
        <w:tc>
          <w:tcPr>
            <w:tcW w:w="2205" w:type="dxa"/>
            <w:tcBorders/>
            <w:vAlign w:val="center"/>
          </w:tcPr>
          <w:p w14:paraId="88663F4E">
            <w:pPr>
              <w:pStyle w:val="style0"/>
              <w:ind w:right="-144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для екзамену, диференційованого заліку (денна форма)</w:t>
            </w:r>
          </w:p>
        </w:tc>
        <w:tc>
          <w:tcPr>
            <w:tcW w:w="3969" w:type="dxa"/>
            <w:tcBorders/>
            <w:shd w:val="clear" w:color="auto" w:fill="auto"/>
            <w:vAlign w:val="center"/>
          </w:tcPr>
          <w:p w14:paraId="8C18034D">
            <w:pPr>
              <w:pStyle w:val="style0"/>
              <w:jc w:val="center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для заліку (заочна форма)</w:t>
            </w:r>
          </w:p>
        </w:tc>
      </w:tr>
      <w:tr w14:paraId="C720DDC3">
        <w:tblPrEx/>
        <w:trPr/>
        <w:tc>
          <w:tcPr>
            <w:tcW w:w="2421" w:type="dxa"/>
            <w:tcBorders/>
            <w:vAlign w:val="center"/>
          </w:tcPr>
          <w:p w14:paraId="07585F82">
            <w:pPr>
              <w:pStyle w:val="style0"/>
              <w:spacing w:before="120" w:after="120"/>
              <w:ind w:left="181"/>
              <w:jc w:val="center"/>
              <w:rPr>
                <w:b/>
                <w:lang w:eastAsia="ru-RU"/>
              </w:rPr>
            </w:pPr>
            <w:r>
              <w:rPr>
                <w:lang w:eastAsia="ru-RU"/>
              </w:rPr>
              <w:t>90-100</w:t>
            </w:r>
          </w:p>
        </w:tc>
        <w:tc>
          <w:tcPr>
            <w:tcW w:w="1357" w:type="dxa"/>
            <w:tcBorders/>
            <w:vAlign w:val="center"/>
          </w:tcPr>
          <w:p w14:paraId="AE064018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А</w:t>
            </w:r>
          </w:p>
        </w:tc>
        <w:tc>
          <w:tcPr>
            <w:tcW w:w="2205" w:type="dxa"/>
            <w:tcBorders/>
            <w:vAlign w:val="center"/>
          </w:tcPr>
          <w:p w14:paraId="8F382951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відмінно  </w:t>
            </w:r>
          </w:p>
        </w:tc>
        <w:tc>
          <w:tcPr>
            <w:tcW w:w="3969" w:type="dxa"/>
            <w:vMerge w:val="restart"/>
            <w:tcBorders/>
            <w:vAlign w:val="center"/>
          </w:tcPr>
          <w:p w14:paraId="77AC072F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зараховано</w:t>
            </w:r>
          </w:p>
        </w:tc>
      </w:tr>
      <w:tr w14:paraId="7ACBF168">
        <w:tblPrEx/>
        <w:trPr>
          <w:trHeight w:val="194" w:hRule="atLeast"/>
        </w:trPr>
        <w:tc>
          <w:tcPr>
            <w:tcW w:w="2421" w:type="dxa"/>
            <w:tcBorders/>
            <w:vAlign w:val="center"/>
          </w:tcPr>
          <w:p w14:paraId="BD60B9A5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82-89</w:t>
            </w:r>
          </w:p>
        </w:tc>
        <w:tc>
          <w:tcPr>
            <w:tcW w:w="1357" w:type="dxa"/>
            <w:tcBorders/>
            <w:vAlign w:val="center"/>
          </w:tcPr>
          <w:p w14:paraId="E2EAAC9C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В</w:t>
            </w:r>
          </w:p>
        </w:tc>
        <w:tc>
          <w:tcPr>
            <w:tcW w:w="2205" w:type="dxa"/>
            <w:vMerge w:val="restart"/>
            <w:tcBorders/>
            <w:vAlign w:val="center"/>
          </w:tcPr>
          <w:p w14:paraId="84958F76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добре </w:t>
            </w:r>
          </w:p>
        </w:tc>
        <w:tc>
          <w:tcPr>
            <w:tcW w:w="3969" w:type="dxa"/>
            <w:vMerge w:val="continue"/>
            <w:tcBorders/>
            <w:vAlign w:val="center"/>
          </w:tcPr>
          <w:p w14:paraId="4F522592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047E2FDE">
        <w:tblPrEx/>
        <w:trPr/>
        <w:tc>
          <w:tcPr>
            <w:tcW w:w="2421" w:type="dxa"/>
            <w:tcBorders/>
            <w:vAlign w:val="center"/>
          </w:tcPr>
          <w:p w14:paraId="02212F34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74-81</w:t>
            </w:r>
          </w:p>
        </w:tc>
        <w:tc>
          <w:tcPr>
            <w:tcW w:w="1357" w:type="dxa"/>
            <w:tcBorders/>
            <w:vAlign w:val="center"/>
          </w:tcPr>
          <w:p w14:paraId="0501F29D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</w:t>
            </w:r>
          </w:p>
        </w:tc>
        <w:tc>
          <w:tcPr>
            <w:tcW w:w="2205" w:type="dxa"/>
            <w:vMerge w:val="continue"/>
            <w:tcBorders/>
            <w:vAlign w:val="center"/>
          </w:tcPr>
          <w:p w14:paraId="F9BFDAB7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  <w:tc>
          <w:tcPr>
            <w:tcW w:w="3969" w:type="dxa"/>
            <w:vMerge w:val="continue"/>
            <w:tcBorders/>
            <w:vAlign w:val="center"/>
          </w:tcPr>
          <w:p w14:paraId="84DE1CC4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2B0CF541">
        <w:tblPrEx/>
        <w:trPr/>
        <w:tc>
          <w:tcPr>
            <w:tcW w:w="2421" w:type="dxa"/>
            <w:tcBorders/>
            <w:vAlign w:val="center"/>
          </w:tcPr>
          <w:p w14:paraId="921D39FC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64-73</w:t>
            </w:r>
          </w:p>
        </w:tc>
        <w:tc>
          <w:tcPr>
            <w:tcW w:w="1357" w:type="dxa"/>
            <w:tcBorders/>
            <w:vAlign w:val="center"/>
          </w:tcPr>
          <w:p w14:paraId="31E2C224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D</w:t>
            </w:r>
          </w:p>
        </w:tc>
        <w:tc>
          <w:tcPr>
            <w:tcW w:w="2205" w:type="dxa"/>
            <w:vMerge w:val="restart"/>
            <w:tcBorders/>
            <w:vAlign w:val="center"/>
          </w:tcPr>
          <w:p w14:paraId="28B25646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задовільно </w:t>
            </w:r>
          </w:p>
        </w:tc>
        <w:tc>
          <w:tcPr>
            <w:tcW w:w="3969" w:type="dxa"/>
            <w:vMerge w:val="continue"/>
            <w:tcBorders/>
            <w:vAlign w:val="center"/>
          </w:tcPr>
          <w:p w14:paraId="180699C5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A75A3489">
        <w:tblPrEx/>
        <w:trPr/>
        <w:tc>
          <w:tcPr>
            <w:tcW w:w="2421" w:type="dxa"/>
            <w:tcBorders/>
            <w:vAlign w:val="center"/>
          </w:tcPr>
          <w:p w14:paraId="2B9AF19A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60-63</w:t>
            </w:r>
          </w:p>
        </w:tc>
        <w:tc>
          <w:tcPr>
            <w:tcW w:w="1357" w:type="dxa"/>
            <w:tcBorders/>
            <w:vAlign w:val="center"/>
          </w:tcPr>
          <w:p w14:paraId="7D321FEE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Е </w:t>
            </w:r>
          </w:p>
        </w:tc>
        <w:tc>
          <w:tcPr>
            <w:tcW w:w="2205" w:type="dxa"/>
            <w:vMerge w:val="continue"/>
            <w:tcBorders/>
            <w:vAlign w:val="center"/>
          </w:tcPr>
          <w:p w14:paraId="D3017160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  <w:tc>
          <w:tcPr>
            <w:tcW w:w="3969" w:type="dxa"/>
            <w:vMerge w:val="continue"/>
            <w:tcBorders/>
            <w:vAlign w:val="center"/>
          </w:tcPr>
          <w:p w14:paraId="10BBB3A8">
            <w:pPr>
              <w:pStyle w:val="style0"/>
              <w:spacing w:before="120" w:after="120"/>
              <w:jc w:val="center"/>
              <w:rPr>
                <w:lang w:eastAsia="ru-RU"/>
              </w:rPr>
            </w:pPr>
          </w:p>
        </w:tc>
      </w:tr>
      <w:tr w14:paraId="A8732661">
        <w:tblPrEx/>
        <w:trPr/>
        <w:tc>
          <w:tcPr>
            <w:tcW w:w="2421" w:type="dxa"/>
            <w:tcBorders/>
            <w:vAlign w:val="center"/>
          </w:tcPr>
          <w:p w14:paraId="F62660EB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35-59</w:t>
            </w:r>
          </w:p>
        </w:tc>
        <w:tc>
          <w:tcPr>
            <w:tcW w:w="1357" w:type="dxa"/>
            <w:tcBorders/>
            <w:vAlign w:val="center"/>
          </w:tcPr>
          <w:p w14:paraId="39DED582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FX</w:t>
            </w:r>
          </w:p>
        </w:tc>
        <w:tc>
          <w:tcPr>
            <w:tcW w:w="2205" w:type="dxa"/>
            <w:tcBorders/>
            <w:vAlign w:val="center"/>
          </w:tcPr>
          <w:p w14:paraId="206736B5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незадовільно з можливістю повторного складання</w:t>
            </w:r>
          </w:p>
        </w:tc>
        <w:tc>
          <w:tcPr>
            <w:tcW w:w="3969" w:type="dxa"/>
            <w:tcBorders/>
            <w:vAlign w:val="center"/>
          </w:tcPr>
          <w:p w14:paraId="0778EDCA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зараховано з можливістю</w:t>
            </w:r>
          </w:p>
          <w:p w14:paraId="9A217E63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повторного складання</w:t>
            </w:r>
          </w:p>
        </w:tc>
      </w:tr>
      <w:tr w14:paraId="F91B4567">
        <w:tblPrEx/>
        <w:trPr>
          <w:trHeight w:val="708" w:hRule="atLeast"/>
        </w:trPr>
        <w:tc>
          <w:tcPr>
            <w:tcW w:w="2421" w:type="dxa"/>
            <w:tcBorders/>
            <w:vAlign w:val="center"/>
          </w:tcPr>
          <w:p w14:paraId="8ECD08F5">
            <w:pPr>
              <w:pStyle w:val="style0"/>
              <w:spacing w:before="120" w:after="120"/>
              <w:ind w:left="18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0-34</w:t>
            </w:r>
          </w:p>
        </w:tc>
        <w:tc>
          <w:tcPr>
            <w:tcW w:w="1357" w:type="dxa"/>
            <w:tcBorders/>
            <w:vAlign w:val="center"/>
          </w:tcPr>
          <w:p w14:paraId="3ADDCFAE">
            <w:pPr>
              <w:pStyle w:val="style0"/>
              <w:spacing w:before="120" w:after="12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F</w:t>
            </w:r>
          </w:p>
        </w:tc>
        <w:tc>
          <w:tcPr>
            <w:tcW w:w="2205" w:type="dxa"/>
            <w:tcBorders/>
            <w:vAlign w:val="center"/>
          </w:tcPr>
          <w:p w14:paraId="AE805B5C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незадовільно з обов’язковим повторним вивченням дисципліни</w:t>
            </w:r>
          </w:p>
        </w:tc>
        <w:tc>
          <w:tcPr>
            <w:tcW w:w="3969" w:type="dxa"/>
            <w:tcBorders/>
            <w:vAlign w:val="center"/>
          </w:tcPr>
          <w:p w14:paraId="86D5B851">
            <w:pPr>
              <w:pStyle w:val="style0"/>
              <w:spacing w:before="120" w:after="12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зараховано з обов’язковим повторним вивченням дисципліни</w:t>
            </w:r>
          </w:p>
        </w:tc>
      </w:tr>
    </w:tbl>
    <w:p w14:paraId="40033F55">
      <w:pPr>
        <w:pStyle w:val="style0"/>
        <w:widowControl w:val="false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</w:tabs>
        <w:autoSpaceDE w:val="false"/>
        <w:autoSpaceDN w:val="false"/>
        <w:spacing w:before="100" w:beforeAutospacing="true" w:after="100" w:afterAutospacing="true"/>
        <w:jc w:val="center"/>
        <w:rPr>
          <w:b/>
          <w:sz w:val="28"/>
          <w:szCs w:val="28"/>
          <w:lang w:eastAsia="ru-RU"/>
        </w:rPr>
      </w:pPr>
    </w:p>
    <w:p w14:paraId="F1ACBA95">
      <w:pPr>
        <w:pStyle w:val="style0"/>
        <w:shd w:val="clear" w:color="auto" w:fill="ffffff"/>
        <w:ind w:firstLine="720"/>
        <w:jc w:val="center"/>
        <w:rPr>
          <w:b/>
          <w:iCs/>
        </w:rPr>
      </w:pPr>
      <w:r>
        <w:rPr>
          <w:b/>
          <w:sz w:val="28"/>
          <w:szCs w:val="28"/>
          <w:lang w:eastAsia="ru-RU"/>
        </w:rPr>
        <w:br w:type="page"/>
      </w:r>
    </w:p>
    <w:p w14:paraId="7C0F02E7">
      <w:pPr>
        <w:pStyle w:val="style0"/>
        <w:shd w:val="clear" w:color="auto" w:fill="ffffff"/>
        <w:ind w:firstLine="720"/>
        <w:jc w:val="center"/>
        <w:rPr>
          <w:iCs/>
        </w:rPr>
      </w:pPr>
    </w:p>
    <w:p w14:paraId="4C81790B">
      <w:pPr>
        <w:pStyle w:val="style0"/>
        <w:shd w:val="clear" w:color="auto" w:fill="ffffff"/>
        <w:ind w:left="720"/>
        <w:jc w:val="both"/>
        <w:rPr>
          <w:bCs/>
        </w:rPr>
      </w:pPr>
    </w:p>
    <w:p w14:paraId="A3ECFB51">
      <w:pPr>
        <w:pStyle w:val="style94"/>
        <w:spacing w:before="0" w:beforeAutospacing="false" w:after="0" w:afterAutospacing="false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</w:t>
      </w:r>
      <w:r>
        <w:rPr>
          <w:b/>
          <w:bCs/>
          <w:color w:val="000000"/>
          <w:lang w:val="ru-RU"/>
        </w:rPr>
        <w:t>1</w:t>
      </w:r>
      <w:r>
        <w:rPr>
          <w:b/>
          <w:bCs/>
          <w:color w:val="000000"/>
        </w:rPr>
        <w:t>. Методичне забезпечення</w:t>
      </w:r>
    </w:p>
    <w:p w14:paraId="7F70B668">
      <w:pPr>
        <w:pStyle w:val="style94"/>
        <w:spacing w:before="0" w:beforeAutospacing="false" w:after="0" w:afterAutospacing="false"/>
        <w:rPr/>
      </w:pPr>
      <w:r>
        <w:t>1. Навчальна (типова) програма.</w:t>
      </w:r>
    </w:p>
    <w:p w14:paraId="B000ED99">
      <w:pPr>
        <w:pStyle w:val="style94"/>
        <w:spacing w:before="0" w:beforeAutospacing="false" w:after="0" w:afterAutospacing="false"/>
        <w:rPr/>
      </w:pPr>
      <w:r>
        <w:t>2. Робоча навчальна програма.</w:t>
      </w:r>
    </w:p>
    <w:p w14:paraId="F59E10ED">
      <w:pPr>
        <w:pStyle w:val="style94"/>
        <w:spacing w:before="0" w:beforeAutospacing="false" w:after="0" w:afterAutospacing="false"/>
        <w:rPr/>
      </w:pPr>
      <w:r>
        <w:t>3. Плани занять.</w:t>
      </w:r>
    </w:p>
    <w:p w14:paraId="7A9A65E3">
      <w:pPr>
        <w:pStyle w:val="style94"/>
        <w:spacing w:before="0" w:beforeAutospacing="false" w:after="0" w:afterAutospacing="false"/>
        <w:rPr/>
      </w:pPr>
      <w:r>
        <w:t>4. Завдання для обов’язкової (директорської) контрольної роботи .</w:t>
      </w:r>
    </w:p>
    <w:p w14:paraId="34025390">
      <w:pPr>
        <w:pStyle w:val="style94"/>
        <w:spacing w:before="0" w:beforeAutospacing="false" w:after="0" w:afterAutospacing="false"/>
        <w:rPr/>
      </w:pPr>
      <w:r>
        <w:t xml:space="preserve">5. Інструкційно-методичні матеріали до самостійної роботи. </w:t>
      </w:r>
    </w:p>
    <w:p w14:paraId="A0944672">
      <w:pPr>
        <w:pStyle w:val="style94"/>
        <w:spacing w:before="0" w:beforeAutospacing="false" w:after="0" w:afterAutospacing="false"/>
        <w:rPr/>
      </w:pPr>
      <w:r>
        <w:t xml:space="preserve">6. </w:t>
      </w:r>
      <w:r>
        <w:t xml:space="preserve">Питання до заліків із модулів. </w:t>
      </w:r>
    </w:p>
    <w:p w14:paraId="D792514E">
      <w:pPr>
        <w:pStyle w:val="style94"/>
        <w:spacing w:before="0" w:beforeAutospacing="false" w:after="0" w:afterAutospacing="false"/>
        <w:rPr/>
      </w:pPr>
      <w:r>
        <w:t>7</w:t>
      </w:r>
      <w:r>
        <w:t>.Роздатковий матеріал.</w:t>
      </w:r>
    </w:p>
    <w:p w14:paraId="B8F7F42A">
      <w:pPr>
        <w:pStyle w:val="style94"/>
        <w:spacing w:before="0" w:beforeAutospacing="false" w:after="0" w:afterAutospacing="false"/>
        <w:rPr/>
      </w:pPr>
      <w:r>
        <w:t>8. Відеоматеріали.</w:t>
      </w:r>
    </w:p>
    <w:p w14:paraId="810EBBEA">
      <w:pPr>
        <w:pStyle w:val="style94"/>
        <w:spacing w:before="0" w:beforeAutospacing="false" w:after="0" w:afterAutospacing="false"/>
        <w:rPr/>
      </w:pPr>
      <w:r>
        <w:t>9. Тестові завдання</w:t>
      </w:r>
    </w:p>
    <w:p w14:paraId="4185C97B">
      <w:pPr>
        <w:pStyle w:val="style0"/>
        <w:shd w:val="clear" w:color="auto" w:fill="ffffff"/>
        <w:jc w:val="center"/>
        <w:rPr>
          <w:b/>
          <w:bCs/>
          <w:iCs/>
        </w:rPr>
      </w:pPr>
    </w:p>
    <w:p w14:paraId="D3C29718">
      <w:pPr>
        <w:pStyle w:val="style0"/>
        <w:shd w:val="clear" w:color="auto" w:fill="ffffff"/>
        <w:jc w:val="center"/>
        <w:rPr>
          <w:b/>
          <w:bCs/>
          <w:iCs/>
        </w:rPr>
      </w:pPr>
      <w:r>
        <w:rPr>
          <w:b/>
          <w:bCs/>
          <w:iCs/>
        </w:rPr>
        <w:t>12.СПИСОК РЕКОМЕНДОВАНОЇ ЛІТЕРАТУРИ</w:t>
      </w:r>
    </w:p>
    <w:p w14:paraId="3F911943">
      <w:pPr>
        <w:pStyle w:val="style0"/>
        <w:widowControl w:val="false"/>
        <w:shd w:val="clear" w:color="auto" w:fill="ffffff"/>
        <w:autoSpaceDE w:val="false"/>
        <w:autoSpaceDN w:val="false"/>
        <w:adjustRightInd w:val="false"/>
        <w:ind w:left="720"/>
        <w:jc w:val="both"/>
        <w:rPr/>
      </w:pPr>
    </w:p>
    <w:p w14:paraId="3405DB3D">
      <w:pPr>
        <w:pStyle w:val="style0"/>
        <w:shd w:val="clear" w:color="auto" w:fill="ffffff"/>
        <w:spacing w:before="120" w:after="120"/>
        <w:ind w:firstLine="708"/>
        <w:rPr>
          <w:b/>
          <w:bCs/>
          <w:spacing w:val="-6"/>
          <w:lang w:eastAsia="ru-RU"/>
        </w:rPr>
      </w:pPr>
      <w:r>
        <w:rPr>
          <w:b/>
          <w:bCs/>
          <w:spacing w:val="-6"/>
          <w:lang w:eastAsia="ru-RU"/>
        </w:rPr>
        <w:t xml:space="preserve">         </w:t>
      </w:r>
    </w:p>
    <w:p w14:paraId="DF51DA26">
      <w:pPr>
        <w:pStyle w:val="style0"/>
        <w:shd w:val="clear" w:color="auto" w:fill="ffffff"/>
        <w:spacing w:before="120" w:after="120"/>
        <w:ind w:firstLine="708"/>
        <w:rPr>
          <w:b/>
          <w:lang w:eastAsia="ru-RU"/>
        </w:rPr>
      </w:pPr>
      <w:r>
        <w:rPr>
          <w:b/>
          <w:bCs/>
          <w:spacing w:val="-6"/>
          <w:lang w:eastAsia="ru-RU"/>
        </w:rPr>
        <w:t xml:space="preserve">                                    </w:t>
      </w:r>
      <w:r>
        <w:rPr>
          <w:b/>
          <w:lang w:eastAsia="ru-RU"/>
        </w:rPr>
        <w:t>12. Інформаційні ресурси</w:t>
      </w:r>
    </w:p>
    <w:p w14:paraId="A2A5A088">
      <w:pPr>
        <w:pStyle w:val="style0"/>
        <w:shd w:val="clear" w:color="auto" w:fill="ffffff"/>
        <w:spacing w:before="120" w:after="120"/>
        <w:jc w:val="center"/>
        <w:rPr>
          <w:lang w:eastAsia="ru-RU"/>
        </w:rPr>
      </w:pPr>
    </w:p>
    <w:p w14:paraId="AC284880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>Військові публікації Сил ТрО Збройних Сил - https://sprotwg7.com.ua/: YouTube канал - https://www.voutube.eom/@TRO Ukraine G7:</w:t>
      </w:r>
    </w:p>
    <w:p w14:paraId="C28B8D48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 Курс prometheus «Застосування технологій в умовах війни» - </w:t>
      </w:r>
      <w:r>
        <w:rPr/>
        <w:fldChar w:fldCharType="begin"/>
      </w:r>
      <w:r>
        <w:instrText xml:space="preserve"> HYPERLINK "https://prometheus.org.ua/prometheus-free/technologv-in-wartime/" </w:instrText>
      </w:r>
      <w:r>
        <w:rPr/>
        <w:fldChar w:fldCharType="separate"/>
      </w:r>
      <w:r>
        <w:rPr>
          <w:rStyle w:val="style85"/>
        </w:rPr>
        <w:t>https://prometheus.org.ua/prometheus-free/technologv-in-wartime/</w:t>
      </w:r>
      <w:r>
        <w:rPr/>
        <w:fldChar w:fldCharType="end"/>
      </w:r>
      <w:r>
        <w:t xml:space="preserve">; </w:t>
      </w:r>
    </w:p>
    <w:p w14:paraId="17E6FCB0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«Інженер БПЛА. Базовий курс» https://prometheus.org.ua/prometheus-free/drone engineering-intro/: </w:t>
      </w:r>
    </w:p>
    <w:p w14:paraId="EAE4CCDE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«ОSINT — розвідка з відкритих джерел та інформаційна безпека» - </w:t>
      </w:r>
      <w:r>
        <w:rPr/>
        <w:fldChar w:fldCharType="begin"/>
      </w:r>
      <w:r>
        <w:instrText xml:space="preserve"> HYPERLINK "https://prometheus.org.ua/prometheus-free/osint-open-sourcemtelligence/" </w:instrText>
      </w:r>
      <w:r>
        <w:rPr/>
        <w:fldChar w:fldCharType="separate"/>
      </w:r>
      <w:r>
        <w:rPr>
          <w:rStyle w:val="style85"/>
        </w:rPr>
        <w:t>https://prometheus.org.ua/prometheus-free/osint-open-sourcemtelligence/</w:t>
      </w:r>
      <w:r>
        <w:rPr/>
        <w:fldChar w:fldCharType="end"/>
      </w:r>
      <w:r>
        <w:t xml:space="preserve">: </w:t>
      </w:r>
    </w:p>
    <w:p w14:paraId="F5588168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«Вивчаючи міжнародне гуманітарне право» - </w:t>
      </w:r>
      <w:r>
        <w:rPr/>
        <w:fldChar w:fldCharType="begin"/>
      </w:r>
      <w:r>
        <w:instrText xml:space="preserve"> HYPERLINK "https://prometheus.org.ua/prometheus-free/intemational-humanitarian-law/" </w:instrText>
      </w:r>
      <w:r>
        <w:rPr/>
        <w:fldChar w:fldCharType="separate"/>
      </w:r>
      <w:r>
        <w:rPr>
          <w:rStyle w:val="style85"/>
        </w:rPr>
        <w:t>https://prometheus.org.ua/prometheus-free/intemational-humanitarian-law/</w:t>
      </w:r>
      <w:r>
        <w:rPr/>
        <w:fldChar w:fldCharType="end"/>
      </w:r>
      <w:r>
        <w:t xml:space="preserve">: </w:t>
      </w:r>
    </w:p>
    <w:p w14:paraId="58D58B66">
      <w:pPr>
        <w:pStyle w:val="style0"/>
        <w:numPr>
          <w:ilvl w:val="0"/>
          <w:numId w:val="19"/>
        </w:numPr>
        <w:shd w:val="clear" w:color="auto" w:fill="ffffff"/>
        <w:tabs>
          <w:tab w:val="left" w:leader="none" w:pos="365"/>
        </w:tabs>
        <w:jc w:val="both"/>
        <w:rPr>
          <w:b/>
        </w:rPr>
      </w:pPr>
      <w:r>
        <w:t xml:space="preserve">Курс prometheus «Базова психологічна допомога в умовах війни» - </w:t>
      </w:r>
      <w:r>
        <w:rPr/>
        <w:fldChar w:fldCharType="begin"/>
      </w:r>
      <w:r>
        <w:instrText xml:space="preserve"> HYPERLINK "https://prometheus.org.ua/prometheus-free/basic-psychological-aid-during-war/" </w:instrText>
      </w:r>
      <w:r>
        <w:rPr/>
        <w:fldChar w:fldCharType="separate"/>
      </w:r>
      <w:r>
        <w:rPr>
          <w:rStyle w:val="style85"/>
        </w:rPr>
        <w:t>https://prometheus.org.ua/prometheus-free/basic-psychological-aid-during-war/</w:t>
      </w:r>
      <w:r>
        <w:rPr/>
        <w:fldChar w:fldCharType="end"/>
      </w:r>
    </w:p>
    <w:p w14:paraId="E4004FE2">
      <w:pPr>
        <w:pStyle w:val="style0"/>
        <w:shd w:val="clear" w:color="auto" w:fill="ffffff"/>
        <w:tabs>
          <w:tab w:val="left" w:leader="none" w:pos="365"/>
        </w:tabs>
        <w:ind w:left="360"/>
        <w:jc w:val="both"/>
        <w:rPr/>
      </w:pPr>
    </w:p>
    <w:p w14:paraId="1AEF93B1">
      <w:pPr>
        <w:pStyle w:val="style0"/>
        <w:shd w:val="clear" w:color="auto" w:fill="ffffff"/>
        <w:tabs>
          <w:tab w:val="left" w:leader="none" w:pos="365"/>
        </w:tabs>
        <w:ind w:left="360"/>
        <w:jc w:val="center"/>
        <w:rPr>
          <w:b/>
        </w:rPr>
      </w:pPr>
      <w:r>
        <w:rPr>
          <w:b/>
        </w:rPr>
        <w:t xml:space="preserve">13. </w:t>
      </w:r>
      <w:r>
        <w:rPr>
          <w:b/>
        </w:rPr>
        <w:t>Партнерство</w:t>
      </w:r>
    </w:p>
    <w:p w14:paraId="3665A460">
      <w:pPr>
        <w:pStyle w:val="style0"/>
        <w:shd w:val="clear" w:color="auto" w:fill="ffffff"/>
        <w:tabs>
          <w:tab w:val="left" w:leader="none" w:pos="365"/>
        </w:tabs>
        <w:ind w:left="360"/>
        <w:jc w:val="both"/>
        <w:rPr/>
      </w:pPr>
      <w:r>
        <w:t xml:space="preserve">Практичні </w:t>
      </w:r>
      <w:r>
        <w:t xml:space="preserve">заняття з набуття навичок надання домедичної підготовки проводяться за підтримки </w:t>
      </w:r>
      <w:r>
        <w:t>центрів з навчання та перепідготовки цивільного населення КоЛеСо тощо. Практичні навички ведення вогню зі стрілецької зброї та інших вмінь, передбачених цією програмою, проводяться за територіальним принципом на полігонній базі НУ «Запорізька політехніка», а також у тирах та інших сертифікованих стрільбищах, інтерактивних тренажерах з дотриманням правил безпеки під час поводження із зброєю та боєприпасами. Індивідуально або в складі навчальних груп.</w:t>
      </w:r>
    </w:p>
    <w:sectPr>
      <w:pgSz w:w="11906" w:h="16838" w:orient="portrait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8D0F992"/>
    <w:lvl w:ilvl="0" w:tplc="7CB80174">
      <w:start w:val="5"/>
      <w:numFmt w:val="bullet"/>
      <w:lvlText w:val="-"/>
      <w:lvlJc w:val="left"/>
      <w:pPr>
        <w:tabs>
          <w:tab w:val="left" w:leader="none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left" w:leader="none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left" w:leader="none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left" w:leader="none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left" w:leader="none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left" w:leader="none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left" w:leader="none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left" w:leader="none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left" w:leader="none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7409EA4"/>
    <w:lvl w:ilvl="0" w:tplc="D1902C62">
      <w:start w:val="10"/>
      <w:numFmt w:val="bullet"/>
      <w:lvlText w:val="-"/>
      <w:lvlJc w:val="left"/>
      <w:pPr>
        <w:ind w:left="1069" w:hanging="360"/>
      </w:pPr>
      <w:rPr>
        <w:rFonts w:ascii="Times New Roman" w:cs="Times New Roman" w:eastAsia="Calibri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5108FFEE"/>
    <w:lvl w:ilvl="0" w:tplc="F86CEA2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3">
    <w:nsid w:val="00000003"/>
    <w:multiLevelType w:val="hybridMultilevel"/>
    <w:tmpl w:val="2B6A032E"/>
    <w:lvl w:ilvl="0" w:tplc="B5A4EE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59460A8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0000005"/>
    <w:multiLevelType w:val="hybridMultilevel"/>
    <w:tmpl w:val="BB623030"/>
    <w:lvl w:ilvl="0" w:tplc="DC928DDC">
      <w:start w:val="1"/>
      <w:numFmt w:val="bullet"/>
      <w:lvlText w:val="-"/>
      <w:lvlJc w:val="left"/>
      <w:pPr>
        <w:ind w:left="420" w:hanging="360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3D42F90"/>
    <w:lvl w:ilvl="0" w:tplc="FB8A775C">
      <w:start w:val="1"/>
      <w:numFmt w:val="bullet"/>
      <w:pStyle w:val="style4101"/>
      <w:lvlText w:val="-"/>
      <w:lvlJc w:val="left"/>
      <w:pPr>
        <w:tabs>
          <w:tab w:val="left" w:leader="none" w:pos="720"/>
        </w:tabs>
        <w:ind w:left="720" w:hanging="360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ECE46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BCC6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F47826F2"/>
    <w:lvl w:ilvl="0" w:tplc="7D4C6E52">
      <w:start w:val="1"/>
      <w:numFmt w:val="bullet"/>
      <w:lvlText w:val="-"/>
      <w:lvlJc w:val="left"/>
      <w:pPr>
        <w:tabs>
          <w:tab w:val="left" w:leader="none" w:pos="2115"/>
        </w:tabs>
        <w:ind w:left="2115" w:hanging="1215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leader="none" w:pos="1980"/>
        </w:tabs>
        <w:ind w:left="198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leader="none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leader="none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leader="none" w:pos="4140"/>
        </w:tabs>
        <w:ind w:left="414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leader="none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leader="none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leader="none" w:pos="6300"/>
        </w:tabs>
        <w:ind w:left="630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leader="none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BEB82344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4BFE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DE0855A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0000000D"/>
    <w:multiLevelType w:val="hybridMultilevel"/>
    <w:tmpl w:val="EB86206A"/>
    <w:lvl w:ilvl="0" w:tplc="F86CEA2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14">
    <w:nsid w:val="0000000E"/>
    <w:multiLevelType w:val="hybridMultilevel"/>
    <w:tmpl w:val="7DA6B1AA"/>
    <w:lvl w:ilvl="0" w:tplc="5816DB8E">
      <w:start w:val="1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ABA8D0FC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A63AA7F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00000012"/>
    <w:multiLevelType w:val="hybridMultilevel"/>
    <w:tmpl w:val="22D0C804"/>
    <w:lvl w:ilvl="0" w:tplc="F86CEA20">
      <w:start w:val="1"/>
      <w:numFmt w:val="decimal"/>
      <w:lvlText w:val="%1."/>
      <w:lvlJc w:val="left"/>
      <w:pPr>
        <w:tabs>
          <w:tab w:val="left" w:leader="none" w:pos="1080"/>
        </w:tabs>
        <w:ind w:left="108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left" w:leader="none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leader="none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leader="none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leader="none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leader="none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leader="none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leader="none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leader="none" w:pos="6840"/>
        </w:tabs>
        <w:ind w:left="6840" w:hanging="180"/>
      </w:pPr>
    </w:lvl>
  </w:abstractNum>
  <w:abstractNum w:abstractNumId="19">
    <w:nsid w:val="00000013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9"/>
  </w:num>
  <w:num w:numId="5">
    <w:abstractNumId w:val="3"/>
  </w:num>
  <w:num w:numId="6">
    <w:abstractNumId w:val="8"/>
  </w:num>
  <w:num w:numId="7">
    <w:abstractNumId w:val="15"/>
  </w:num>
  <w:num w:numId="8">
    <w:abstractNumId w:val="10"/>
  </w:num>
  <w:num w:numId="9">
    <w:abstractNumId w:val="7"/>
  </w:num>
  <w:num w:numId="10">
    <w:abstractNumId w:val="11"/>
  </w:num>
  <w:num w:numId="11">
    <w:abstractNumId w:val="1"/>
  </w:num>
  <w:num w:numId="12">
    <w:abstractNumId w:val="19"/>
  </w:num>
  <w:num w:numId="13">
    <w:abstractNumId w:val="16"/>
  </w:num>
  <w:num w:numId="14">
    <w:abstractNumId w:val="4"/>
  </w:num>
  <w:num w:numId="15">
    <w:abstractNumId w:val="12"/>
  </w:num>
  <w:num w:numId="16">
    <w:abstractNumId w:val="2"/>
  </w:num>
  <w:num w:numId="17">
    <w:abstractNumId w:val="13"/>
  </w:num>
  <w:num w:numId="18">
    <w:abstractNumId w:val="18"/>
  </w:num>
  <w:num w:numId="19">
    <w:abstractNumId w:val="17"/>
  </w:num>
  <w:num w:numId="20">
    <w:abstractNumId w:val="1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val="uk-UA" w:eastAsia="uk-UA"/>
    </w:rPr>
  </w:style>
  <w:style w:type="paragraph" w:styleId="style1">
    <w:name w:val="heading 1"/>
    <w:basedOn w:val="style0"/>
    <w:next w:val="style0"/>
    <w:link w:val="style4107"/>
    <w:qFormat/>
    <w:uiPriority w:val="9"/>
    <w:pPr>
      <w:keepNext/>
      <w:keepLines/>
      <w:spacing w:before="240"/>
      <w:outlineLvl w:val="0"/>
    </w:pPr>
    <w:rPr>
      <w:rFonts w:ascii="Cambria" w:cs="宋体" w:eastAsia="宋体" w:hAnsi="Cambria"/>
      <w:color w:val="365f91"/>
      <w:sz w:val="32"/>
      <w:szCs w:val="32"/>
    </w:rPr>
  </w:style>
  <w:style w:type="paragraph" w:styleId="style2">
    <w:name w:val="heading 2"/>
    <w:basedOn w:val="style0"/>
    <w:next w:val="style2"/>
    <w:link w:val="style4097"/>
    <w:qFormat/>
    <w:uiPriority w:val="9"/>
    <w:pPr>
      <w:spacing w:before="100" w:beforeAutospacing="true" w:after="100" w:afterAutospacing="true"/>
      <w:outlineLvl w:val="1"/>
    </w:pPr>
    <w:rPr>
      <w:b/>
      <w:bCs/>
      <w:sz w:val="36"/>
      <w:szCs w:val="36"/>
    </w:rPr>
  </w:style>
  <w:style w:type="paragraph" w:styleId="style3">
    <w:name w:val="heading 3"/>
    <w:basedOn w:val="style0"/>
    <w:next w:val="style3"/>
    <w:link w:val="style4098"/>
    <w:qFormat/>
    <w:uiPriority w:val="9"/>
    <w:pPr>
      <w:spacing w:before="100" w:beforeAutospacing="true" w:after="100" w:afterAutospacing="true"/>
      <w:outlineLvl w:val="2"/>
    </w:pPr>
    <w:rPr>
      <w:b/>
      <w:bCs/>
      <w:sz w:val="27"/>
      <w:szCs w:val="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2 Знак"/>
    <w:basedOn w:val="style65"/>
    <w:next w:val="style4097"/>
    <w:link w:val="style2"/>
    <w:uiPriority w:val="9"/>
    <w:rPr>
      <w:rFonts w:ascii="Times New Roman" w:cs="Times New Roman" w:eastAsia="Times New Roman" w:hAnsi="Times New Roman"/>
      <w:b/>
      <w:bCs/>
      <w:sz w:val="36"/>
      <w:szCs w:val="36"/>
      <w:lang w:val="uk-UA" w:eastAsia="uk-UA"/>
    </w:rPr>
  </w:style>
  <w:style w:type="character" w:customStyle="1" w:styleId="style4098">
    <w:name w:val="Заголовок 3 Знак"/>
    <w:basedOn w:val="style65"/>
    <w:next w:val="style4098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  <w:lang w:val="uk-UA" w:eastAsia="uk-UA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</w:pPr>
    <w:rPr/>
  </w:style>
  <w:style w:type="paragraph" w:styleId="style153">
    <w:name w:val="Balloon Text"/>
    <w:basedOn w:val="style0"/>
    <w:next w:val="style153"/>
    <w:link w:val="style4099"/>
    <w:uiPriority w:val="99"/>
    <w:pPr/>
    <w:rPr>
      <w:rFonts w:ascii="Tahoma" w:cs="Tahoma" w:hAnsi="Tahoma"/>
      <w:sz w:val="16"/>
      <w:szCs w:val="16"/>
    </w:rPr>
  </w:style>
  <w:style w:type="character" w:customStyle="1" w:styleId="style4099">
    <w:name w:val="Текст выноски Знак"/>
    <w:basedOn w:val="style65"/>
    <w:next w:val="style4099"/>
    <w:link w:val="style153"/>
    <w:uiPriority w:val="99"/>
    <w:rPr>
      <w:rFonts w:ascii="Tahoma" w:cs="Tahoma" w:eastAsia="Times New Roman" w:hAnsi="Tahoma"/>
      <w:sz w:val="16"/>
      <w:szCs w:val="16"/>
      <w:lang w:val="uk-UA" w:eastAsia="uk-UA"/>
    </w:rPr>
  </w:style>
  <w:style w:type="paragraph" w:styleId="style89">
    <w:name w:val="Document Map"/>
    <w:basedOn w:val="style0"/>
    <w:next w:val="style89"/>
    <w:link w:val="style4100"/>
    <w:uiPriority w:val="99"/>
    <w:pPr/>
    <w:rPr>
      <w:rFonts w:ascii="Tahoma" w:cs="Tahoma" w:hAnsi="Tahoma"/>
      <w:sz w:val="16"/>
      <w:szCs w:val="16"/>
    </w:rPr>
  </w:style>
  <w:style w:type="character" w:customStyle="1" w:styleId="style4100">
    <w:name w:val="Схема документа Знак"/>
    <w:basedOn w:val="style65"/>
    <w:next w:val="style4100"/>
    <w:link w:val="style89"/>
    <w:uiPriority w:val="99"/>
    <w:rPr>
      <w:rFonts w:ascii="Tahoma" w:cs="Tahoma" w:eastAsia="Times New Roman" w:hAnsi="Tahoma"/>
      <w:sz w:val="16"/>
      <w:szCs w:val="16"/>
      <w:lang w:val="uk-UA" w:eastAsia="uk-UA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paragraph" w:customStyle="1" w:styleId="style4101">
    <w:name w:val="Перечень"/>
    <w:basedOn w:val="style0"/>
    <w:next w:val="style4101"/>
    <w:pPr>
      <w:numPr>
        <w:ilvl w:val="0"/>
        <w:numId w:val="1"/>
      </w:numPr>
    </w:pPr>
    <w:rPr>
      <w:sz w:val="26"/>
      <w:szCs w:val="26"/>
      <w:lang w:eastAsia="ru-RU"/>
    </w:rPr>
  </w:style>
  <w:style w:type="paragraph" w:customStyle="1" w:styleId="style4102">
    <w:name w:val="Контент"/>
    <w:basedOn w:val="style0"/>
    <w:next w:val="style4102"/>
    <w:link w:val="style4103"/>
    <w:pPr>
      <w:ind w:firstLine="540"/>
      <w:jc w:val="both"/>
    </w:pPr>
    <w:rPr>
      <w:sz w:val="26"/>
      <w:lang w:eastAsia="ru-RU"/>
    </w:rPr>
  </w:style>
  <w:style w:type="character" w:customStyle="1" w:styleId="style4103">
    <w:name w:val="Контент Знак"/>
    <w:basedOn w:val="style65"/>
    <w:next w:val="style4103"/>
    <w:link w:val="style4102"/>
    <w:rPr>
      <w:rFonts w:ascii="Times New Roman" w:cs="Times New Roman" w:eastAsia="Times New Roman" w:hAnsi="Times New Roman"/>
      <w:sz w:val="26"/>
      <w:szCs w:val="24"/>
      <w:lang w:val="uk-UA" w:eastAsia="ru-RU"/>
    </w:rPr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customStyle="1" w:styleId="style4104">
    <w:name w:val="FR3"/>
    <w:next w:val="style4104"/>
    <w:pPr>
      <w:widowControl w:val="false"/>
      <w:autoSpaceDE w:val="false"/>
      <w:autoSpaceDN w:val="false"/>
      <w:adjustRightInd w:val="false"/>
      <w:spacing w:after="0" w:lineRule="auto" w:line="300"/>
      <w:jc w:val="center"/>
    </w:pPr>
    <w:rPr>
      <w:rFonts w:ascii="Times New Roman" w:cs="Times New Roman" w:eastAsia="Times New Roman" w:hAnsi="Times New Roman"/>
      <w:b/>
      <w:bCs/>
      <w:sz w:val="28"/>
      <w:szCs w:val="28"/>
      <w:lang w:val="uk-UA" w:eastAsia="uk-UA"/>
    </w:rPr>
  </w:style>
  <w:style w:type="paragraph" w:styleId="style31">
    <w:name w:val="header"/>
    <w:basedOn w:val="style0"/>
    <w:next w:val="style31"/>
    <w:link w:val="style4105"/>
    <w:uiPriority w:val="99"/>
    <w:pPr>
      <w:tabs>
        <w:tab w:val="center" w:leader="none" w:pos="4844"/>
        <w:tab w:val="right" w:leader="none" w:pos="9689"/>
      </w:tabs>
    </w:pPr>
    <w:rPr/>
  </w:style>
  <w:style w:type="character" w:customStyle="1" w:styleId="style4105">
    <w:name w:val="Верхний колонтитул Знак"/>
    <w:basedOn w:val="style65"/>
    <w:next w:val="style4105"/>
    <w:link w:val="style31"/>
    <w:uiPriority w:val="99"/>
    <w:rPr>
      <w:rFonts w:ascii="Times New Roman" w:cs="Times New Roman" w:eastAsia="Times New Roman" w:hAnsi="Times New Roman"/>
      <w:sz w:val="24"/>
      <w:szCs w:val="24"/>
      <w:lang w:val="uk-UA" w:eastAsia="uk-UA"/>
    </w:rPr>
  </w:style>
  <w:style w:type="paragraph" w:styleId="style32">
    <w:name w:val="footer"/>
    <w:basedOn w:val="style0"/>
    <w:next w:val="style32"/>
    <w:link w:val="style4106"/>
    <w:uiPriority w:val="99"/>
    <w:pPr>
      <w:tabs>
        <w:tab w:val="center" w:leader="none" w:pos="4844"/>
        <w:tab w:val="right" w:leader="none" w:pos="9689"/>
      </w:tabs>
    </w:pPr>
    <w:rPr/>
  </w:style>
  <w:style w:type="character" w:customStyle="1" w:styleId="style4106">
    <w:name w:val="Нижний колонтитул Знак"/>
    <w:basedOn w:val="style65"/>
    <w:next w:val="style4106"/>
    <w:link w:val="style32"/>
    <w:uiPriority w:val="99"/>
    <w:rPr>
      <w:rFonts w:ascii="Times New Roman" w:cs="Times New Roman" w:eastAsia="Times New Roman" w:hAnsi="Times New Roman"/>
      <w:sz w:val="24"/>
      <w:szCs w:val="24"/>
      <w:lang w:val="uk-UA" w:eastAsia="uk-UA"/>
    </w:rPr>
  </w:style>
  <w:style w:type="character" w:customStyle="1" w:styleId="style4107">
    <w:name w:val="Заголовок 1 Знак"/>
    <w:basedOn w:val="style65"/>
    <w:next w:val="style4107"/>
    <w:link w:val="style1"/>
    <w:uiPriority w:val="9"/>
    <w:rPr>
      <w:rFonts w:ascii="Cambria" w:cs="宋体" w:eastAsia="宋体" w:hAnsi="Cambria"/>
      <w:color w:val="365f91"/>
      <w:sz w:val="32"/>
      <w:szCs w:val="32"/>
      <w:lang w:val="uk-UA" w:eastAsia="uk-U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59ACE-F515-4AED-B5AE-1C9F5B83A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2942</Words>
  <Pages>15</Pages>
  <Characters>20173</Characters>
  <Application>WPS Office</Application>
  <DocSecurity>0</DocSecurity>
  <Paragraphs>842</Paragraphs>
  <ScaleCrop>false</ScaleCrop>
  <Company>Home</Company>
  <LinksUpToDate>false</LinksUpToDate>
  <CharactersWithSpaces>22871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2026-09-30T15:04:13Z</dcterms:created>
  <dc:creator>Admin</dc:creator>
  <lastModifiedBy>25040RP0AG</lastModifiedBy>
  <lastPrinted>2025-01-08T13:36:00Z</lastPrinted>
  <dcterms:modified xsi:type="dcterms:W3CDTF">2026-09-30T15:04:13Z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8c8684fcaa7443e4a7d80b4ff58daccd_23</vt:lpwstr>
  </property>
</Properties>
</file>