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EFDF3B" w14:textId="67E1FD3B" w:rsidR="0023237C" w:rsidRPr="0023237C" w:rsidRDefault="0068464D" w:rsidP="0023237C">
      <w:pPr>
        <w:spacing w:before="100" w:beforeAutospacing="1" w:after="100" w:afterAutospacing="1" w:line="240" w:lineRule="auto"/>
        <w:jc w:val="both"/>
        <w:rPr>
          <w:rFonts w:ascii="Times New Roman" w:eastAsia="Times New Roman" w:hAnsi="Times New Roman" w:cs="Times New Roman"/>
          <w:b/>
          <w:bCs/>
          <w:kern w:val="0"/>
          <w:lang w:val="uk-UA" w:eastAsia="ru-RU"/>
          <w14:ligatures w14:val="none"/>
        </w:rPr>
      </w:pPr>
      <w:r>
        <w:rPr>
          <w:rFonts w:ascii="Times New Roman" w:eastAsia="Times New Roman" w:hAnsi="Times New Roman" w:cs="Times New Roman"/>
          <w:b/>
          <w:bCs/>
          <w:kern w:val="0"/>
          <w:lang w:val="uk-UA" w:eastAsia="ru-RU"/>
          <w14:ligatures w14:val="none"/>
        </w:rPr>
        <w:t xml:space="preserve">Звіт </w:t>
      </w:r>
      <w:r w:rsidR="0023237C" w:rsidRPr="0023237C">
        <w:rPr>
          <w:rFonts w:ascii="Times New Roman" w:eastAsia="Times New Roman" w:hAnsi="Times New Roman" w:cs="Times New Roman"/>
          <w:b/>
          <w:bCs/>
          <w:kern w:val="0"/>
          <w:lang w:val="uk-UA" w:eastAsia="ru-RU"/>
          <w14:ligatures w14:val="none"/>
        </w:rPr>
        <w:t>за результатами опитування здобувачів освіти</w:t>
      </w:r>
      <w:r w:rsidR="0023237C">
        <w:rPr>
          <w:rFonts w:ascii="Times New Roman" w:eastAsia="Times New Roman" w:hAnsi="Times New Roman" w:cs="Times New Roman"/>
          <w:b/>
          <w:bCs/>
          <w:kern w:val="0"/>
          <w:lang w:val="uk-UA" w:eastAsia="ru-RU"/>
          <w14:ligatures w14:val="none"/>
        </w:rPr>
        <w:t xml:space="preserve"> </w:t>
      </w:r>
      <w:r w:rsidR="0023237C" w:rsidRPr="0023237C">
        <w:rPr>
          <w:rFonts w:ascii="Times New Roman" w:eastAsia="Times New Roman" w:hAnsi="Times New Roman" w:cs="Times New Roman"/>
          <w:b/>
          <w:bCs/>
          <w:kern w:val="0"/>
          <w:lang w:val="uk-UA" w:eastAsia="ru-RU"/>
          <w14:ligatures w14:val="none"/>
        </w:rPr>
        <w:t>ОПП «Германські мови та літератури (переклад включно)»</w:t>
      </w:r>
      <w:r w:rsidR="00896613">
        <w:rPr>
          <w:rFonts w:ascii="Times New Roman" w:eastAsia="Times New Roman" w:hAnsi="Times New Roman" w:cs="Times New Roman"/>
          <w:b/>
          <w:bCs/>
          <w:kern w:val="0"/>
          <w:lang w:val="uk-UA" w:eastAsia="ru-RU"/>
          <w14:ligatures w14:val="none"/>
        </w:rPr>
        <w:t xml:space="preserve"> (</w:t>
      </w:r>
      <w:r w:rsidR="0023237C" w:rsidRPr="0023237C">
        <w:rPr>
          <w:rFonts w:ascii="Times New Roman" w:eastAsia="Times New Roman" w:hAnsi="Times New Roman" w:cs="Times New Roman"/>
          <w:b/>
          <w:bCs/>
          <w:kern w:val="0"/>
          <w:lang w:val="uk-UA" w:eastAsia="ru-RU"/>
          <w14:ligatures w14:val="none"/>
        </w:rPr>
        <w:t>2025–2026 н</w:t>
      </w:r>
      <w:r w:rsidR="00896613">
        <w:rPr>
          <w:rFonts w:ascii="Times New Roman" w:eastAsia="Times New Roman" w:hAnsi="Times New Roman" w:cs="Times New Roman"/>
          <w:b/>
          <w:bCs/>
          <w:kern w:val="0"/>
          <w:lang w:val="uk-UA" w:eastAsia="ru-RU"/>
          <w14:ligatures w14:val="none"/>
        </w:rPr>
        <w:t>.</w:t>
      </w:r>
      <w:r w:rsidR="0023237C" w:rsidRPr="0023237C">
        <w:rPr>
          <w:rFonts w:ascii="Times New Roman" w:eastAsia="Times New Roman" w:hAnsi="Times New Roman" w:cs="Times New Roman"/>
          <w:b/>
          <w:bCs/>
          <w:kern w:val="0"/>
          <w:lang w:val="uk-UA" w:eastAsia="ru-RU"/>
          <w14:ligatures w14:val="none"/>
        </w:rPr>
        <w:t>р</w:t>
      </w:r>
      <w:r w:rsidR="00896613">
        <w:rPr>
          <w:rFonts w:ascii="Times New Roman" w:eastAsia="Times New Roman" w:hAnsi="Times New Roman" w:cs="Times New Roman"/>
          <w:b/>
          <w:bCs/>
          <w:kern w:val="0"/>
          <w:lang w:val="uk-UA" w:eastAsia="ru-RU"/>
          <w14:ligatures w14:val="none"/>
        </w:rPr>
        <w:t>.)</w:t>
      </w:r>
      <w:bookmarkStart w:id="0" w:name="_GoBack"/>
      <w:bookmarkEnd w:id="0"/>
    </w:p>
    <w:p w14:paraId="6D46AC0E" w14:textId="15875DC7" w:rsidR="0023237C" w:rsidRPr="0023237C" w:rsidRDefault="0023237C" w:rsidP="0023237C">
      <w:pPr>
        <w:pStyle w:val="font-claude-response-body"/>
        <w:jc w:val="both"/>
        <w:rPr>
          <w:lang w:val="uk-UA"/>
        </w:rPr>
      </w:pPr>
      <w:r w:rsidRPr="0023237C">
        <w:rPr>
          <w:lang w:val="uk-UA"/>
        </w:rPr>
        <w:t xml:space="preserve">По завершенні </w:t>
      </w:r>
      <w:r w:rsidR="00795997">
        <w:rPr>
          <w:lang w:val="uk-UA"/>
        </w:rPr>
        <w:t>2</w:t>
      </w:r>
      <w:r w:rsidRPr="0023237C">
        <w:rPr>
          <w:lang w:val="uk-UA"/>
        </w:rPr>
        <w:t xml:space="preserve"> семестр</w:t>
      </w:r>
      <w:r>
        <w:rPr>
          <w:lang w:val="uk-UA"/>
        </w:rPr>
        <w:t>у</w:t>
      </w:r>
      <w:r w:rsidRPr="0023237C">
        <w:rPr>
          <w:lang w:val="uk-UA"/>
        </w:rPr>
        <w:t xml:space="preserve"> 2025–2026 навчального року серед здобувачів освіти освітньо-професійної програми «Германські мови та літератури (переклад включно)» проведено анкетування з метою оцінки якості освітнього процесу. До опитування залучено 15 респондентів: 11 студентів денної форми навчання (73%) та 4 студентів заочної (27%). За курсами розподіл такий: переважна більшість </w:t>
      </w:r>
      <w:r>
        <w:rPr>
          <w:lang w:val="uk-UA"/>
        </w:rPr>
        <w:t>–</w:t>
      </w:r>
      <w:r w:rsidRPr="0023237C">
        <w:rPr>
          <w:lang w:val="uk-UA"/>
        </w:rPr>
        <w:t xml:space="preserve"> </w:t>
      </w:r>
      <w:r>
        <w:rPr>
          <w:lang w:val="uk-UA"/>
        </w:rPr>
        <w:t xml:space="preserve"> </w:t>
      </w:r>
      <w:r w:rsidRPr="0023237C">
        <w:rPr>
          <w:lang w:val="uk-UA"/>
        </w:rPr>
        <w:t xml:space="preserve">студенти 4 курсу (9 осіб, 60%), 2 курсу </w:t>
      </w:r>
      <w:r>
        <w:rPr>
          <w:lang w:val="uk-UA"/>
        </w:rPr>
        <w:t>–</w:t>
      </w:r>
      <w:r w:rsidRPr="0023237C">
        <w:rPr>
          <w:lang w:val="uk-UA"/>
        </w:rPr>
        <w:t xml:space="preserve"> 4 особи (27%), по одній особі представляють 1 курс бакалаврату та 1 курс скороченої програми.</w:t>
      </w:r>
    </w:p>
    <w:p w14:paraId="4B437957" w14:textId="48E85A90" w:rsidR="0023237C" w:rsidRPr="0023237C" w:rsidRDefault="0023237C" w:rsidP="0023237C">
      <w:pPr>
        <w:pStyle w:val="font-claude-response-body"/>
        <w:jc w:val="both"/>
        <w:rPr>
          <w:lang w:val="uk-UA"/>
        </w:rPr>
      </w:pPr>
      <w:r w:rsidRPr="0023237C">
        <w:rPr>
          <w:lang w:val="uk-UA"/>
        </w:rPr>
        <w:t xml:space="preserve">Щодо основних труднощів у навчанні, студенти могли обрати кілька варіантів відповіді. Найчастіше зазначалася необхідність поєднувати навчання з роботою (6 відповідей), що є закономірним з огляду на рівень зайнятості: 53% респондентів працюють, причому більшість </w:t>
      </w:r>
      <w:r>
        <w:rPr>
          <w:lang w:val="uk-UA"/>
        </w:rPr>
        <w:t>–</w:t>
      </w:r>
      <w:r w:rsidRPr="0023237C">
        <w:rPr>
          <w:lang w:val="uk-UA"/>
        </w:rPr>
        <w:t xml:space="preserve"> на умовах повного робочого дня. Недостатній рівень підготовки до практичної роботи за фахом відзначили 5 студентів, незручний розклад та недостатнє навчально-методичне забезпечення </w:t>
      </w:r>
      <w:r>
        <w:rPr>
          <w:lang w:val="uk-UA"/>
        </w:rPr>
        <w:t>–</w:t>
      </w:r>
      <w:r w:rsidRPr="0023237C">
        <w:rPr>
          <w:lang w:val="uk-UA"/>
        </w:rPr>
        <w:t xml:space="preserve"> по 4. Троє опитаних не мають жодних зауважень, і лише один зазначив як проблему перебої з електроенергією та неготовність окремих викладачів іти назустріч у таких обставинах.</w:t>
      </w:r>
    </w:p>
    <w:p w14:paraId="7692D9F1" w14:textId="7C2EFD64" w:rsidR="0023237C" w:rsidRPr="0023237C" w:rsidRDefault="0023237C" w:rsidP="0023237C">
      <w:pPr>
        <w:pStyle w:val="font-claude-response-body"/>
        <w:jc w:val="both"/>
        <w:rPr>
          <w:lang w:val="ru-RU"/>
        </w:rPr>
      </w:pPr>
      <w:r w:rsidRPr="0023237C">
        <w:rPr>
          <w:lang w:val="uk-UA"/>
        </w:rPr>
        <w:t xml:space="preserve">Ефективність методів викладання студенти оцінили в середньому на 3,67 бала з 5: найчисельніша група (7 осіб) поставила оцінку 3, п'ятеро — найвищу оцінку 5, двоє </w:t>
      </w:r>
      <w:r>
        <w:rPr>
          <w:lang w:val="uk-UA"/>
        </w:rPr>
        <w:t>–</w:t>
      </w:r>
      <w:r w:rsidRPr="0023237C">
        <w:rPr>
          <w:lang w:val="uk-UA"/>
        </w:rPr>
        <w:t xml:space="preserve"> 4, і один респондент </w:t>
      </w:r>
      <w:r>
        <w:rPr>
          <w:lang w:val="uk-UA"/>
        </w:rPr>
        <w:t>–</w:t>
      </w:r>
      <w:r w:rsidRPr="0023237C">
        <w:rPr>
          <w:lang w:val="uk-UA"/>
        </w:rPr>
        <w:t xml:space="preserve"> 1. Відповідність форм і методів викладання індивідуальним потребам студентів розподілилася так: 7 осіб вважають її повною, 6 </w:t>
      </w:r>
      <w:r>
        <w:rPr>
          <w:lang w:val="uk-UA"/>
        </w:rPr>
        <w:t>–</w:t>
      </w:r>
      <w:r w:rsidRPr="0023237C">
        <w:rPr>
          <w:lang w:val="uk-UA"/>
        </w:rPr>
        <w:t xml:space="preserve"> частковою, 2 </w:t>
      </w:r>
      <w:r>
        <w:rPr>
          <w:lang w:val="uk-UA"/>
        </w:rPr>
        <w:t>–</w:t>
      </w:r>
      <w:r w:rsidRPr="0023237C">
        <w:rPr>
          <w:lang w:val="uk-UA"/>
        </w:rPr>
        <w:t xml:space="preserve"> вказують на невідповідність. Серед підходів, які застосовували викладачі, найчастіше відзначалися заохочення до використання інтерактивних технологій (9 відповідей), методи навчання, орієнтованого на практику (8), використання сучасних технологій (7) та скерування на самостійну роботу з дистанційним курсом (6). Найпоширенішими формами занять були робота в групах (11 відповідей), дискусія (10), візуалізована лекція (9) і практичне заняття із демонстрацією</w:t>
      </w:r>
      <w:r w:rsidRPr="0023237C">
        <w:rPr>
          <w:lang w:val="ru-RU"/>
        </w:rPr>
        <w:t xml:space="preserve"> (7).</w:t>
      </w:r>
    </w:p>
    <w:p w14:paraId="7ABFDC7F" w14:textId="73462742" w:rsidR="0023237C" w:rsidRPr="0023237C" w:rsidRDefault="0023237C" w:rsidP="0023237C">
      <w:pPr>
        <w:pStyle w:val="font-claude-response-body"/>
        <w:jc w:val="both"/>
        <w:rPr>
          <w:lang w:val="uk-UA"/>
        </w:rPr>
      </w:pPr>
      <w:r w:rsidRPr="0023237C">
        <w:rPr>
          <w:lang w:val="uk-UA"/>
        </w:rPr>
        <w:t>Доступ до навчальних матеріалів студенти оцінили в середньому на 3,93 бала: оцінку 4 поставили 7 осіб, оцінку 5 – 4 особи, оцінку 3 – 3 особи, оцінку 2 – 1 особа. У коментарях фіксуються технічні проблеми з сайтом університету і недоступність частини файлів.</w:t>
      </w:r>
    </w:p>
    <w:p w14:paraId="2D7AEE59" w14:textId="65B89CF6" w:rsidR="0023237C" w:rsidRPr="0023237C" w:rsidRDefault="0023237C" w:rsidP="0023237C">
      <w:pPr>
        <w:pStyle w:val="font-claude-response-body"/>
        <w:jc w:val="both"/>
        <w:rPr>
          <w:lang w:val="uk-UA"/>
        </w:rPr>
      </w:pPr>
      <w:r w:rsidRPr="0023237C">
        <w:rPr>
          <w:lang w:val="uk-UA"/>
        </w:rPr>
        <w:t xml:space="preserve">Проблематичним є питання стимулювання самоосвіти: 47% студентів (7 осіб) зазначили, що навчання на програмі не спонукає до самостійного розвитку. Водночас ті, хто відзначив позитивні практики, вказують на цікаві й актуальні теми лекцій та семінарів (6 відповідей), постановку дослідницьких завдань </w:t>
      </w:r>
      <w:r w:rsidR="002A1FA1">
        <w:rPr>
          <w:lang w:val="uk-UA"/>
        </w:rPr>
        <w:t>–</w:t>
      </w:r>
      <w:r w:rsidR="002A1FA1" w:rsidRPr="0023237C">
        <w:rPr>
          <w:lang w:val="uk-UA"/>
        </w:rPr>
        <w:t xml:space="preserve"> </w:t>
      </w:r>
      <w:r w:rsidRPr="0023237C">
        <w:rPr>
          <w:lang w:val="uk-UA"/>
        </w:rPr>
        <w:t>рефератів, есе, проєктів (5) та заохочення до пошуку додаткових джерел (4). Серед найефективніших способів підтримки науково-дослідної роботи студенти виокремили наявність чітких методичних рекомендацій (6 відповідей), можливість публікації власних наукових робіт і написання курсових за власними дослідницькими інтересами (по 5), а також проведення наукових семінарів і дискусій (4).</w:t>
      </w:r>
    </w:p>
    <w:p w14:paraId="601689B2" w14:textId="61423880" w:rsidR="0023237C" w:rsidRPr="00795997" w:rsidRDefault="0023237C" w:rsidP="0023237C">
      <w:pPr>
        <w:pStyle w:val="font-claude-response-body"/>
        <w:jc w:val="both"/>
        <w:rPr>
          <w:lang w:val="uk-UA"/>
        </w:rPr>
      </w:pPr>
      <w:r w:rsidRPr="0023237C">
        <w:rPr>
          <w:lang w:val="uk-UA"/>
        </w:rPr>
        <w:t xml:space="preserve">У частині рекомендацій щодо розкладу 6 студентів пропонують рівномірно розподілити заняття з іноземних мов протягом тижня, не концентруючи їх в один день, 3 </w:t>
      </w:r>
      <w:r w:rsidR="002A1FA1">
        <w:rPr>
          <w:lang w:val="uk-UA"/>
        </w:rPr>
        <w:t>–</w:t>
      </w:r>
      <w:r w:rsidR="002A1FA1" w:rsidRPr="0023237C">
        <w:rPr>
          <w:lang w:val="uk-UA"/>
        </w:rPr>
        <w:t xml:space="preserve"> </w:t>
      </w:r>
      <w:r w:rsidRPr="0023237C">
        <w:rPr>
          <w:lang w:val="uk-UA"/>
        </w:rPr>
        <w:t>збільшити кількість практичних годин з іноземної мови, і 4 не вбачають потреби в змінах. Серед пріоритетних змін у методах викладання лідирує запит на більше практичних занять з перекладу та лінгвістичного аналізу (7 відповідей), за ним</w:t>
      </w:r>
      <w:r w:rsidRPr="002A1FA1">
        <w:rPr>
          <w:lang w:val="uk-UA"/>
        </w:rPr>
        <w:t xml:space="preserve"> </w:t>
      </w:r>
      <w:r w:rsidR="002A1FA1">
        <w:rPr>
          <w:lang w:val="uk-UA"/>
        </w:rPr>
        <w:t>–</w:t>
      </w:r>
      <w:r w:rsidR="002A1FA1" w:rsidRPr="0023237C">
        <w:rPr>
          <w:lang w:val="uk-UA"/>
        </w:rPr>
        <w:t xml:space="preserve"> </w:t>
      </w:r>
      <w:r w:rsidRPr="002A1FA1">
        <w:rPr>
          <w:lang w:val="uk-UA"/>
        </w:rPr>
        <w:t xml:space="preserve">посилення індивідуального </w:t>
      </w:r>
      <w:r w:rsidRPr="002A1FA1">
        <w:rPr>
          <w:lang w:val="uk-UA"/>
        </w:rPr>
        <w:lastRenderedPageBreak/>
        <w:t>підходу (6), активніше використання цифрових інструментів (6), впровадження проєктного підходу (5) та збільшення кількості інтерактивних лекцій і семінарів (4). Троє студентів не вважають зміни першочерговими.</w:t>
      </w:r>
    </w:p>
    <w:p w14:paraId="5BAD68CC" w14:textId="438FA9BF" w:rsidR="0023237C" w:rsidRPr="002A1FA1" w:rsidRDefault="0023237C" w:rsidP="0023237C">
      <w:pPr>
        <w:pStyle w:val="font-claude-response-body"/>
        <w:jc w:val="both"/>
        <w:rPr>
          <w:lang w:val="uk-UA"/>
        </w:rPr>
      </w:pPr>
      <w:r w:rsidRPr="002A1FA1">
        <w:rPr>
          <w:lang w:val="uk-UA"/>
        </w:rPr>
        <w:t xml:space="preserve">Сайт кафедри отримав середню оцінку 3,60 бала з 5, при цьому розподіл оцінок є полярним: найвищу оцінку 5 поставили 6 осіб, оцінку 3 </w:t>
      </w:r>
      <w:r w:rsidR="002A1FA1">
        <w:rPr>
          <w:lang w:val="uk-UA"/>
        </w:rPr>
        <w:t>–</w:t>
      </w:r>
      <w:r w:rsidR="002A1FA1" w:rsidRPr="0023237C">
        <w:rPr>
          <w:lang w:val="uk-UA"/>
        </w:rPr>
        <w:t xml:space="preserve"> </w:t>
      </w:r>
      <w:r w:rsidRPr="002A1FA1">
        <w:rPr>
          <w:lang w:val="uk-UA"/>
        </w:rPr>
        <w:t>5 осіб, тоді як 3 респонденти вказали на суттєві недоліки (оцінки 1 і 2), зокрема неактивні посилання та недоступність окремих матеріалів.</w:t>
      </w:r>
    </w:p>
    <w:p w14:paraId="269A52F8" w14:textId="783E0295" w:rsidR="0023237C" w:rsidRPr="002A1FA1" w:rsidRDefault="0023237C" w:rsidP="0023237C">
      <w:pPr>
        <w:pStyle w:val="font-claude-response-body"/>
        <w:jc w:val="both"/>
        <w:rPr>
          <w:lang w:val="uk-UA"/>
        </w:rPr>
      </w:pPr>
      <w:r w:rsidRPr="002A1FA1">
        <w:rPr>
          <w:lang w:val="uk-UA"/>
        </w:rPr>
        <w:t xml:space="preserve">Щодо академічної доброчесності, студенти загалом демонструють відповідальне ставлення: не копіюють чужі роботи, вказують використані джерела. Інструменти штучного інтелекту використовуються переважно в допоміжний спосіб </w:t>
      </w:r>
      <w:r w:rsidR="002A1FA1">
        <w:rPr>
          <w:lang w:val="uk-UA"/>
        </w:rPr>
        <w:t>–</w:t>
      </w:r>
      <w:r w:rsidR="002A1FA1" w:rsidRPr="0023237C">
        <w:rPr>
          <w:lang w:val="uk-UA"/>
        </w:rPr>
        <w:t xml:space="preserve"> </w:t>
      </w:r>
      <w:r w:rsidRPr="002A1FA1">
        <w:rPr>
          <w:lang w:val="uk-UA"/>
        </w:rPr>
        <w:t xml:space="preserve">для перевірки правопису, уточнення термінів і самоперевірки </w:t>
      </w:r>
      <w:r w:rsidR="002A1FA1">
        <w:rPr>
          <w:lang w:val="uk-UA"/>
        </w:rPr>
        <w:t>–</w:t>
      </w:r>
      <w:r w:rsidR="002A1FA1" w:rsidRPr="0023237C">
        <w:rPr>
          <w:lang w:val="uk-UA"/>
        </w:rPr>
        <w:t xml:space="preserve"> </w:t>
      </w:r>
      <w:r w:rsidRPr="002A1FA1">
        <w:rPr>
          <w:lang w:val="uk-UA"/>
        </w:rPr>
        <w:t>але не як заміна самостійного виконання навчальних завдань.</w:t>
      </w:r>
    </w:p>
    <w:p w14:paraId="096DCD69" w14:textId="77777777" w:rsidR="0023237C" w:rsidRPr="002A1FA1" w:rsidRDefault="0023237C" w:rsidP="0023237C">
      <w:pPr>
        <w:pStyle w:val="font-claude-response-body"/>
        <w:jc w:val="both"/>
        <w:rPr>
          <w:lang w:val="uk-UA"/>
        </w:rPr>
      </w:pPr>
      <w:r w:rsidRPr="002A1FA1">
        <w:rPr>
          <w:lang w:val="uk-UA"/>
        </w:rPr>
        <w:t>Показовими є дані про перекладацьку діяльність поза університетом: 60% студентів (9 осіб) час від часу або регулярно займаються усним чи письмовим перекладом на волонтерських засадах або в межах підробітку, що свідчить про практичну затребуваність здобутих компетентностей.</w:t>
      </w:r>
    </w:p>
    <w:p w14:paraId="546DFC67" w14:textId="22FCEA6D" w:rsidR="0023237C" w:rsidRPr="002A1FA1" w:rsidRDefault="0023237C" w:rsidP="0023237C">
      <w:pPr>
        <w:pStyle w:val="font-claude-response-body"/>
        <w:jc w:val="both"/>
        <w:rPr>
          <w:lang w:val="uk-UA"/>
        </w:rPr>
      </w:pPr>
      <w:r w:rsidRPr="002A1FA1">
        <w:rPr>
          <w:lang w:val="uk-UA"/>
        </w:rPr>
        <w:t>Узагальнюючи результати опитування, можна виокремити такі сильні сторони програми: активне застосування інтерактивних методів навчання, переважно позитивні оцінки роботи викладацького складу, відповідальне ставлення студентів до академічної доброчесності та помітна фахова активність за межами університету. Водночас проблемними залишаються недостатнє стимулювання самоосвіти, технічні збої в робот</w:t>
      </w:r>
      <w:r w:rsidR="002A1FA1">
        <w:rPr>
          <w:lang w:val="uk-UA"/>
        </w:rPr>
        <w:t>і сайту, незручний розклад</w:t>
      </w:r>
      <w:r w:rsidRPr="002A1FA1">
        <w:rPr>
          <w:lang w:val="uk-UA"/>
        </w:rPr>
        <w:t>.</w:t>
      </w:r>
    </w:p>
    <w:p w14:paraId="1A78CB4B" w14:textId="79A06FD9" w:rsidR="0023237C" w:rsidRPr="002A1FA1" w:rsidRDefault="0023237C" w:rsidP="0023237C">
      <w:pPr>
        <w:pStyle w:val="font-claude-response-body"/>
        <w:jc w:val="both"/>
        <w:rPr>
          <w:lang w:val="uk-UA"/>
        </w:rPr>
      </w:pPr>
      <w:r w:rsidRPr="002A1FA1">
        <w:rPr>
          <w:lang w:val="uk-UA"/>
        </w:rPr>
        <w:t xml:space="preserve">На підставі отриманих даних кафедра формулює такі пріоритетні рекомендації: збільшити питому вагу практичних фахових занять з перекладу та лінгвістичного аналізу; </w:t>
      </w:r>
      <w:r w:rsidR="002A1FA1">
        <w:rPr>
          <w:lang w:val="uk-UA"/>
        </w:rPr>
        <w:t xml:space="preserve">запровадити проєктно-орінтований підхід до навчання </w:t>
      </w:r>
      <w:r w:rsidRPr="002A1FA1">
        <w:rPr>
          <w:lang w:val="uk-UA"/>
        </w:rPr>
        <w:t xml:space="preserve">та ширше впровадити цифрові інструменти в освітній процес. </w:t>
      </w:r>
    </w:p>
    <w:p w14:paraId="3C327DA5" w14:textId="77777777" w:rsidR="002F5705" w:rsidRPr="002F5705" w:rsidRDefault="002F5705" w:rsidP="002A1FA1">
      <w:pPr>
        <w:spacing w:before="100" w:beforeAutospacing="1" w:after="100" w:afterAutospacing="1" w:line="240" w:lineRule="auto"/>
        <w:jc w:val="both"/>
        <w:rPr>
          <w:rFonts w:ascii="Times New Roman" w:eastAsia="Times New Roman" w:hAnsi="Times New Roman" w:cs="Times New Roman"/>
          <w:kern w:val="0"/>
          <w:lang w:eastAsia="ru-RU"/>
          <w14:ligatures w14:val="none"/>
        </w:rPr>
      </w:pPr>
      <w:r w:rsidRPr="002F5705">
        <w:rPr>
          <w:rFonts w:ascii="Times New Roman" w:eastAsia="Times New Roman" w:hAnsi="Times New Roman" w:cs="Times New Roman"/>
          <w:b/>
          <w:bCs/>
          <w:kern w:val="0"/>
          <w:lang w:eastAsia="ru-RU"/>
          <w14:ligatures w14:val="none"/>
        </w:rPr>
        <w:t>Кафедра вважає зазначені пропозиції обґрунтованими та такими, що сприятимуть підвищенню якості освітнього процесу й удосконаленню підготовки здобувачів за освітньо-професійною програмою «Германські мови та літератури (переклад включно)».</w:t>
      </w:r>
    </w:p>
    <w:p w14:paraId="02E6F59C" w14:textId="77777777" w:rsidR="002F5705" w:rsidRPr="0068464D" w:rsidRDefault="002F5705">
      <w:pPr>
        <w:rPr>
          <w:lang w:val="uk-UA"/>
        </w:rPr>
      </w:pPr>
    </w:p>
    <w:sectPr w:rsidR="002F5705" w:rsidRPr="006846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A17A3"/>
    <w:multiLevelType w:val="multilevel"/>
    <w:tmpl w:val="04521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5810A7"/>
    <w:multiLevelType w:val="multilevel"/>
    <w:tmpl w:val="15B07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6C2E11"/>
    <w:multiLevelType w:val="multilevel"/>
    <w:tmpl w:val="19BCB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C3310F"/>
    <w:multiLevelType w:val="multilevel"/>
    <w:tmpl w:val="7B5A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CA6410"/>
    <w:multiLevelType w:val="multilevel"/>
    <w:tmpl w:val="1D7EE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307900"/>
    <w:multiLevelType w:val="multilevel"/>
    <w:tmpl w:val="7A2A3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922AD7"/>
    <w:multiLevelType w:val="multilevel"/>
    <w:tmpl w:val="477A8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E80E00"/>
    <w:multiLevelType w:val="multilevel"/>
    <w:tmpl w:val="8DBE1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1E07EF"/>
    <w:multiLevelType w:val="multilevel"/>
    <w:tmpl w:val="37A8B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F663652"/>
    <w:multiLevelType w:val="multilevel"/>
    <w:tmpl w:val="35C2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5077F1"/>
    <w:multiLevelType w:val="multilevel"/>
    <w:tmpl w:val="6DC6B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BF4809"/>
    <w:multiLevelType w:val="multilevel"/>
    <w:tmpl w:val="89E81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4B5F53"/>
    <w:multiLevelType w:val="multilevel"/>
    <w:tmpl w:val="5CEAD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A2442F"/>
    <w:multiLevelType w:val="multilevel"/>
    <w:tmpl w:val="1BD8A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1"/>
  </w:num>
  <w:num w:numId="4">
    <w:abstractNumId w:val="4"/>
  </w:num>
  <w:num w:numId="5">
    <w:abstractNumId w:val="12"/>
  </w:num>
  <w:num w:numId="6">
    <w:abstractNumId w:val="7"/>
  </w:num>
  <w:num w:numId="7">
    <w:abstractNumId w:val="2"/>
  </w:num>
  <w:num w:numId="8">
    <w:abstractNumId w:val="0"/>
  </w:num>
  <w:num w:numId="9">
    <w:abstractNumId w:val="5"/>
  </w:num>
  <w:num w:numId="10">
    <w:abstractNumId w:val="13"/>
  </w:num>
  <w:num w:numId="11">
    <w:abstractNumId w:val="10"/>
  </w:num>
  <w:num w:numId="12">
    <w:abstractNumId w:val="11"/>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705"/>
    <w:rsid w:val="0023237C"/>
    <w:rsid w:val="00257C3A"/>
    <w:rsid w:val="002A1FA1"/>
    <w:rsid w:val="002F5705"/>
    <w:rsid w:val="0068464D"/>
    <w:rsid w:val="00795997"/>
    <w:rsid w:val="00896613"/>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03B35"/>
  <w15:chartTrackingRefBased/>
  <w15:docId w15:val="{FD704750-7B1D-F24D-8C84-B2AF1B99E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F57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F57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F570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2F570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F570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F570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F570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F570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F570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570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F570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F570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2F570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F570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F570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F5705"/>
    <w:rPr>
      <w:rFonts w:eastAsiaTheme="majorEastAsia" w:cstheme="majorBidi"/>
      <w:color w:val="595959" w:themeColor="text1" w:themeTint="A6"/>
    </w:rPr>
  </w:style>
  <w:style w:type="character" w:customStyle="1" w:styleId="80">
    <w:name w:val="Заголовок 8 Знак"/>
    <w:basedOn w:val="a0"/>
    <w:link w:val="8"/>
    <w:uiPriority w:val="9"/>
    <w:semiHidden/>
    <w:rsid w:val="002F570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F5705"/>
    <w:rPr>
      <w:rFonts w:eastAsiaTheme="majorEastAsia" w:cstheme="majorBidi"/>
      <w:color w:val="272727" w:themeColor="text1" w:themeTint="D8"/>
    </w:rPr>
  </w:style>
  <w:style w:type="paragraph" w:styleId="a3">
    <w:name w:val="Title"/>
    <w:basedOn w:val="a"/>
    <w:next w:val="a"/>
    <w:link w:val="a4"/>
    <w:uiPriority w:val="10"/>
    <w:qFormat/>
    <w:rsid w:val="002F57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F57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F570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F570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F5705"/>
    <w:pPr>
      <w:spacing w:before="160"/>
      <w:jc w:val="center"/>
    </w:pPr>
    <w:rPr>
      <w:i/>
      <w:iCs/>
      <w:color w:val="404040" w:themeColor="text1" w:themeTint="BF"/>
    </w:rPr>
  </w:style>
  <w:style w:type="character" w:customStyle="1" w:styleId="22">
    <w:name w:val="Цитата 2 Знак"/>
    <w:basedOn w:val="a0"/>
    <w:link w:val="21"/>
    <w:uiPriority w:val="29"/>
    <w:rsid w:val="002F5705"/>
    <w:rPr>
      <w:i/>
      <w:iCs/>
      <w:color w:val="404040" w:themeColor="text1" w:themeTint="BF"/>
    </w:rPr>
  </w:style>
  <w:style w:type="paragraph" w:styleId="a7">
    <w:name w:val="List Paragraph"/>
    <w:basedOn w:val="a"/>
    <w:uiPriority w:val="34"/>
    <w:qFormat/>
    <w:rsid w:val="002F5705"/>
    <w:pPr>
      <w:ind w:left="720"/>
      <w:contextualSpacing/>
    </w:pPr>
  </w:style>
  <w:style w:type="character" w:styleId="a8">
    <w:name w:val="Intense Emphasis"/>
    <w:basedOn w:val="a0"/>
    <w:uiPriority w:val="21"/>
    <w:qFormat/>
    <w:rsid w:val="002F5705"/>
    <w:rPr>
      <w:i/>
      <w:iCs/>
      <w:color w:val="0F4761" w:themeColor="accent1" w:themeShade="BF"/>
    </w:rPr>
  </w:style>
  <w:style w:type="paragraph" w:styleId="a9">
    <w:name w:val="Intense Quote"/>
    <w:basedOn w:val="a"/>
    <w:next w:val="a"/>
    <w:link w:val="aa"/>
    <w:uiPriority w:val="30"/>
    <w:qFormat/>
    <w:rsid w:val="002F57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F5705"/>
    <w:rPr>
      <w:i/>
      <w:iCs/>
      <w:color w:val="0F4761" w:themeColor="accent1" w:themeShade="BF"/>
    </w:rPr>
  </w:style>
  <w:style w:type="character" w:styleId="ab">
    <w:name w:val="Intense Reference"/>
    <w:basedOn w:val="a0"/>
    <w:uiPriority w:val="32"/>
    <w:qFormat/>
    <w:rsid w:val="002F5705"/>
    <w:rPr>
      <w:b/>
      <w:bCs/>
      <w:smallCaps/>
      <w:color w:val="0F4761" w:themeColor="accent1" w:themeShade="BF"/>
      <w:spacing w:val="5"/>
    </w:rPr>
  </w:style>
  <w:style w:type="paragraph" w:styleId="ac">
    <w:name w:val="Normal (Web)"/>
    <w:basedOn w:val="a"/>
    <w:uiPriority w:val="99"/>
    <w:semiHidden/>
    <w:unhideWhenUsed/>
    <w:rsid w:val="002F570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2F5705"/>
    <w:rPr>
      <w:b/>
      <w:bCs/>
    </w:rPr>
  </w:style>
  <w:style w:type="paragraph" w:customStyle="1" w:styleId="font-claude-response-body">
    <w:name w:val="font-claude-response-body"/>
    <w:basedOn w:val="a"/>
    <w:rsid w:val="0023237C"/>
    <w:pPr>
      <w:spacing w:before="100" w:beforeAutospacing="1" w:after="100" w:afterAutospacing="1" w:line="240" w:lineRule="auto"/>
    </w:pPr>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652508">
      <w:bodyDiv w:val="1"/>
      <w:marLeft w:val="0"/>
      <w:marRight w:val="0"/>
      <w:marTop w:val="0"/>
      <w:marBottom w:val="0"/>
      <w:divBdr>
        <w:top w:val="none" w:sz="0" w:space="0" w:color="auto"/>
        <w:left w:val="none" w:sz="0" w:space="0" w:color="auto"/>
        <w:bottom w:val="none" w:sz="0" w:space="0" w:color="auto"/>
        <w:right w:val="none" w:sz="0" w:space="0" w:color="auto"/>
      </w:divBdr>
    </w:div>
    <w:div w:id="1428579269">
      <w:bodyDiv w:val="1"/>
      <w:marLeft w:val="0"/>
      <w:marRight w:val="0"/>
      <w:marTop w:val="0"/>
      <w:marBottom w:val="0"/>
      <w:divBdr>
        <w:top w:val="none" w:sz="0" w:space="0" w:color="auto"/>
        <w:left w:val="none" w:sz="0" w:space="0" w:color="auto"/>
        <w:bottom w:val="none" w:sz="0" w:space="0" w:color="auto"/>
        <w:right w:val="none" w:sz="0" w:space="0" w:color="auto"/>
      </w:divBdr>
    </w:div>
    <w:div w:id="1812088462">
      <w:bodyDiv w:val="1"/>
      <w:marLeft w:val="0"/>
      <w:marRight w:val="0"/>
      <w:marTop w:val="0"/>
      <w:marBottom w:val="0"/>
      <w:divBdr>
        <w:top w:val="none" w:sz="0" w:space="0" w:color="auto"/>
        <w:left w:val="none" w:sz="0" w:space="0" w:color="auto"/>
        <w:bottom w:val="none" w:sz="0" w:space="0" w:color="auto"/>
        <w:right w:val="none" w:sz="0" w:space="0" w:color="auto"/>
      </w:divBdr>
    </w:div>
    <w:div w:id="1871651127">
      <w:bodyDiv w:val="1"/>
      <w:marLeft w:val="0"/>
      <w:marRight w:val="0"/>
      <w:marTop w:val="0"/>
      <w:marBottom w:val="0"/>
      <w:divBdr>
        <w:top w:val="none" w:sz="0" w:space="0" w:color="auto"/>
        <w:left w:val="none" w:sz="0" w:space="0" w:color="auto"/>
        <w:bottom w:val="none" w:sz="0" w:space="0" w:color="auto"/>
        <w:right w:val="none" w:sz="0" w:space="0" w:color="auto"/>
      </w:divBdr>
    </w:div>
    <w:div w:id="1955407351">
      <w:bodyDiv w:val="1"/>
      <w:marLeft w:val="0"/>
      <w:marRight w:val="0"/>
      <w:marTop w:val="0"/>
      <w:marBottom w:val="0"/>
      <w:divBdr>
        <w:top w:val="none" w:sz="0" w:space="0" w:color="auto"/>
        <w:left w:val="none" w:sz="0" w:space="0" w:color="auto"/>
        <w:bottom w:val="none" w:sz="0" w:space="0" w:color="auto"/>
        <w:right w:val="none" w:sz="0" w:space="0" w:color="auto"/>
      </w:divBdr>
    </w:div>
    <w:div w:id="1979725246">
      <w:bodyDiv w:val="1"/>
      <w:marLeft w:val="0"/>
      <w:marRight w:val="0"/>
      <w:marTop w:val="0"/>
      <w:marBottom w:val="0"/>
      <w:divBdr>
        <w:top w:val="none" w:sz="0" w:space="0" w:color="auto"/>
        <w:left w:val="none" w:sz="0" w:space="0" w:color="auto"/>
        <w:bottom w:val="none" w:sz="0" w:space="0" w:color="auto"/>
        <w:right w:val="none" w:sz="0" w:space="0" w:color="auto"/>
      </w:divBdr>
    </w:div>
    <w:div w:id="211231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815</Words>
  <Characters>4650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Лещенко</dc:creator>
  <cp:keywords/>
  <dc:description/>
  <cp:lastModifiedBy>User</cp:lastModifiedBy>
  <cp:revision>5</cp:revision>
  <dcterms:created xsi:type="dcterms:W3CDTF">2026-06-01T08:26:00Z</dcterms:created>
  <dcterms:modified xsi:type="dcterms:W3CDTF">2026-08-13T05:33:00Z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f6bfd5e3-3915-499c-8094-cf8b4565c99d</vt:lpwstr>
  </property>
</Properties>
</file>