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ab/>
        <w:tab/>
        <w:tab/>
        <w:tab/>
        <w:tab/>
        <w:tab/>
        <w:tab/>
        <w:tab/>
        <w:tab/>
        <w:t xml:space="preserve">проєкт</w:t>
      </w:r>
    </w:p>
    <w:tbl>
      <w:tblPr>
        <w:tblStyle w:val="Table1"/>
        <w:tblW w:w="8646.0" w:type="dxa"/>
        <w:jc w:val="left"/>
        <w:tblInd w:w="317.0" w:type="dxa"/>
        <w:tblLayout w:type="fixed"/>
        <w:tblLook w:val="0000"/>
      </w:tblPr>
      <w:tblGrid>
        <w:gridCol w:w="3402"/>
        <w:gridCol w:w="1842"/>
        <w:gridCol w:w="3402"/>
        <w:tblGridChange w:id="0">
          <w:tblGrid>
            <w:gridCol w:w="3402"/>
            <w:gridCol w:w="1842"/>
            <w:gridCol w:w="3402"/>
          </w:tblGrid>
        </w:tblGridChange>
      </w:tblGrid>
      <w:tr>
        <w:trPr>
          <w:cantSplit w:val="0"/>
          <w:trHeight w:val="1454" w:hRule="atLeast"/>
          <w:tblHeader w:val="0"/>
        </w:trPr>
        <w:tc>
          <w:tcPr>
            <w:shd w:fill="auto" w:val="clear"/>
            <w:tcMar>
              <w:top w:w="0.0" w:type="dxa"/>
              <w:left w:w="108.0" w:type="dxa"/>
              <w:bottom w:w="0.0" w:type="dxa"/>
              <w:right w:w="108.0" w:type="dxa"/>
            </w:tcMar>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sz w:val="26"/>
                <w:szCs w:val="26"/>
              </w:rPr>
            </w:pPr>
            <w:bookmarkStart w:colFirst="0" w:colLast="0" w:name="_heading=h.3oolclw7s2za" w:id="0"/>
            <w:bookmarkEnd w:id="0"/>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76" w:lineRule="auto"/>
              <w:jc w:val="center"/>
              <w:rPr>
                <w:sz w:val="22"/>
                <w:szCs w:val="22"/>
              </w:rPr>
            </w:pPr>
            <w:r w:rsidDel="00000000" w:rsidR="00000000" w:rsidRPr="00000000">
              <w:rPr>
                <w:rFonts w:ascii="Times New Roman" w:cs="Times New Roman" w:eastAsia="Times New Roman" w:hAnsi="Times New Roman"/>
                <w:sz w:val="26"/>
                <w:szCs w:val="26"/>
                <w:rtl w:val="0"/>
              </w:rPr>
              <w:t xml:space="preserve">National University</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76" w:lineRule="auto"/>
              <w:jc w:val="center"/>
              <w:rPr>
                <w:sz w:val="22"/>
                <w:szCs w:val="22"/>
              </w:rPr>
            </w:pPr>
            <w:r w:rsidDel="00000000" w:rsidR="00000000" w:rsidRPr="00000000">
              <w:rPr>
                <w:rFonts w:ascii="Times New Roman" w:cs="Times New Roman" w:eastAsia="Times New Roman" w:hAnsi="Times New Roman"/>
                <w:sz w:val="26"/>
                <w:szCs w:val="26"/>
                <w:rtl w:val="0"/>
              </w:rPr>
              <w:t xml:space="preserve">Zaporizhzhia Polytechnic</w:t>
            </w: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rPr>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109860</wp:posOffset>
                  </wp:positionH>
                  <wp:positionV relativeFrom="paragraph">
                    <wp:posOffset>0</wp:posOffset>
                  </wp:positionV>
                  <wp:extent cx="898526" cy="898526"/>
                  <wp:effectExtent b="0" l="0" r="0" t="0"/>
                  <wp:wrapSquare wrapText="bothSides" distB="0" distT="0" distL="114300" distR="114300"/>
                  <wp:docPr id="4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98526" cy="898526"/>
                          </a:xfrm>
                          <a:prstGeom prst="rect"/>
                          <a:ln/>
                        </pic:spPr>
                      </pic:pic>
                    </a:graphicData>
                  </a:graphic>
                </wp:anchor>
              </w:drawing>
            </w:r>
          </w:p>
        </w:tc>
        <w:tc>
          <w:tcPr>
            <w:shd w:fill="auto" w:val="clear"/>
            <w:tcMar>
              <w:top w:w="0.0" w:type="dxa"/>
              <w:left w:w="108.0" w:type="dxa"/>
              <w:bottom w:w="0.0" w:type="dxa"/>
              <w:right w:w="108.0" w:type="dxa"/>
            </w:tcMar>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Національний університет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«Запорізька політехніка»</w:t>
            </w:r>
          </w:p>
        </w:tc>
      </w:tr>
    </w:tbl>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56" w:lineRule="auto"/>
        <w:ind w:left="4111" w:firstLine="141.0000000000002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Введено в дію наказом ректора</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56" w:lineRule="auto"/>
        <w:ind w:left="4111" w:firstLine="141.00000000000023"/>
        <w:rPr>
          <w:sz w:val="22"/>
          <w:szCs w:val="22"/>
        </w:rPr>
      </w:pPr>
      <w:r w:rsidDel="00000000" w:rsidR="00000000" w:rsidRPr="00000000">
        <w:rPr>
          <w:rFonts w:ascii="Times New Roman" w:cs="Times New Roman" w:eastAsia="Times New Roman" w:hAnsi="Times New Roman"/>
          <w:sz w:val="24"/>
          <w:szCs w:val="24"/>
          <w:rtl w:val="0"/>
        </w:rPr>
        <w:t xml:space="preserve">НУ «Запорізька політехніка»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56" w:lineRule="auto"/>
        <w:ind w:left="4111" w:firstLine="141.00000000000023"/>
        <w:rPr>
          <w:sz w:val="22"/>
          <w:szCs w:val="22"/>
        </w:rPr>
      </w:pPr>
      <w:r w:rsidDel="00000000" w:rsidR="00000000" w:rsidRPr="00000000">
        <w:rPr>
          <w:rFonts w:ascii="Times New Roman" w:cs="Times New Roman" w:eastAsia="Times New Roman" w:hAnsi="Times New Roman"/>
          <w:sz w:val="24"/>
          <w:szCs w:val="24"/>
          <w:rtl w:val="0"/>
        </w:rPr>
        <w:t xml:space="preserve">Put into effect by the order of the Rector</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56" w:lineRule="auto"/>
        <w:ind w:left="4111" w:firstLine="141.00000000000023"/>
        <w:rPr>
          <w:sz w:val="22"/>
          <w:szCs w:val="22"/>
        </w:rPr>
      </w:pPr>
      <w:r w:rsidDel="00000000" w:rsidR="00000000" w:rsidRPr="00000000">
        <w:rPr>
          <w:rFonts w:ascii="Times New Roman" w:cs="Times New Roman" w:eastAsia="Times New Roman" w:hAnsi="Times New Roman"/>
          <w:sz w:val="24"/>
          <w:szCs w:val="24"/>
          <w:rtl w:val="0"/>
        </w:rPr>
        <w:t xml:space="preserve">of the National University «Zaporizhzhia Polytechnic»</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56" w:lineRule="auto"/>
        <w:ind w:left="4111" w:firstLine="141.00000000000023"/>
        <w:rPr>
          <w:sz w:val="22"/>
          <w:szCs w:val="22"/>
        </w:rPr>
      </w:pPr>
      <w:r w:rsidDel="00000000" w:rsidR="00000000" w:rsidRPr="00000000">
        <w:rPr>
          <w:rFonts w:ascii="Times New Roman" w:cs="Times New Roman" w:eastAsia="Times New Roman" w:hAnsi="Times New Roman"/>
          <w:sz w:val="24"/>
          <w:szCs w:val="24"/>
          <w:rtl w:val="0"/>
        </w:rPr>
        <w:t xml:space="preserve">від / dated 29.07.2025 р. №341</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56" w:lineRule="auto"/>
        <w:ind w:left="4111" w:firstLine="141.00000000000023"/>
        <w:rPr>
          <w:sz w:val="22"/>
          <w:szCs w:val="22"/>
        </w:rPr>
      </w:pPr>
      <w:r w:rsidDel="00000000" w:rsidR="00000000" w:rsidRPr="00000000">
        <w:rPr>
          <w:rFonts w:ascii="Times New Roman" w:cs="Times New Roman" w:eastAsia="Times New Roman" w:hAnsi="Times New Roman"/>
          <w:sz w:val="24"/>
          <w:szCs w:val="24"/>
          <w:rtl w:val="0"/>
        </w:rPr>
        <w:t xml:space="preserve">Ректор / Rector</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56" w:lineRule="auto"/>
        <w:ind w:left="4111" w:firstLine="141.00000000000023"/>
        <w:rPr>
          <w:sz w:val="22"/>
          <w:szCs w:val="22"/>
        </w:rPr>
      </w:pPr>
      <w:r w:rsidDel="00000000" w:rsidR="00000000" w:rsidRPr="00000000">
        <w:rPr>
          <w:rFonts w:ascii="Times New Roman" w:cs="Times New Roman" w:eastAsia="Times New Roman" w:hAnsi="Times New Roman"/>
          <w:sz w:val="24"/>
          <w:szCs w:val="24"/>
          <w:rtl w:val="0"/>
        </w:rPr>
        <w:t xml:space="preserve">________Віктор </w:t>
      </w:r>
      <w:r w:rsidDel="00000000" w:rsidR="00000000" w:rsidRPr="00000000">
        <w:rPr>
          <w:rFonts w:ascii="Times New Roman" w:cs="Times New Roman" w:eastAsia="Times New Roman" w:hAnsi="Times New Roman"/>
          <w:smallCaps w:val="1"/>
          <w:sz w:val="24"/>
          <w:szCs w:val="24"/>
          <w:rtl w:val="0"/>
        </w:rPr>
        <w:t xml:space="preserve">ГРЕШТА </w:t>
      </w:r>
      <w:r w:rsidDel="00000000" w:rsidR="00000000" w:rsidRPr="00000000">
        <w:rPr>
          <w:rFonts w:ascii="Times New Roman" w:cs="Times New Roman" w:eastAsia="Times New Roman" w:hAnsi="Times New Roman"/>
          <w:sz w:val="24"/>
          <w:szCs w:val="24"/>
          <w:rtl w:val="0"/>
        </w:rPr>
        <w:t xml:space="preserve"> / Victor GRESHTA </w:t>
      </w:r>
      <w:r w:rsidDel="00000000" w:rsidR="00000000" w:rsidRPr="00000000">
        <w:rPr>
          <w:rtl w:val="0"/>
        </w:rPr>
      </w:r>
    </w:p>
    <w:p w:rsidR="00000000" w:rsidDel="00000000" w:rsidP="00000000" w:rsidRDefault="00000000" w:rsidRPr="00000000" w14:paraId="00000010">
      <w:pPr>
        <w:ind w:left="4111" w:hanging="283.0000000000001"/>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mallCaps w:val="1"/>
          <w:sz w:val="26"/>
          <w:szCs w:val="26"/>
        </w:rPr>
      </w:pPr>
      <w:r w:rsidDel="00000000" w:rsidR="00000000" w:rsidRPr="00000000">
        <w:rPr>
          <w:rFonts w:ascii="Times New Roman" w:cs="Times New Roman" w:eastAsia="Times New Roman" w:hAnsi="Times New Roman"/>
          <w:b w:val="1"/>
          <w:smallCaps w:val="1"/>
          <w:sz w:val="26"/>
          <w:szCs w:val="26"/>
          <w:rtl w:val="0"/>
        </w:rPr>
        <w:t xml:space="preserve"> </w:t>
      </w:r>
    </w:p>
    <w:p w:rsidR="00000000" w:rsidDel="00000000" w:rsidP="00000000" w:rsidRDefault="00000000" w:rsidRPr="00000000" w14:paraId="00000012">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ІНТЕЛЕКТУАЛЬНІ ТЕХНОЛОГІЇ ТА ПРИЙНЯТТЯ РІШЕНЬ В СКЛАДНИХ СИСТЕМАХ /</w:t>
      </w:r>
    </w:p>
    <w:p w:rsidR="00000000" w:rsidDel="00000000" w:rsidP="00000000" w:rsidRDefault="00000000" w:rsidRPr="00000000" w14:paraId="00000013">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INTELLIGENT TECHNOLOGIES AND DECISION-MAKING IN COMPLEX SYSTEMS</w:t>
      </w:r>
    </w:p>
    <w:p w:rsidR="00000000" w:rsidDel="00000000" w:rsidP="00000000" w:rsidRDefault="00000000" w:rsidRPr="00000000" w14:paraId="00000014">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ОСВІТНЬО-ПРОФЕСІЙНА ПРОГРАМА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EDUCATIONAL AND PROFESSIONAL PROGRAM</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рівень вищої освіти – другий / </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level of higher education – second</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b w:val="1"/>
          <w:sz w:val="26"/>
          <w:szCs w:val="26"/>
        </w:rPr>
      </w:pPr>
      <w:r w:rsidDel="00000000" w:rsidR="00000000" w:rsidRPr="00000000">
        <w:rPr>
          <w:rtl w:val="0"/>
        </w:rPr>
      </w:r>
    </w:p>
    <w:tbl>
      <w:tblPr>
        <w:tblStyle w:val="Table2"/>
        <w:tblW w:w="10171.0" w:type="dxa"/>
        <w:jc w:val="left"/>
        <w:tblInd w:w="-216.0" w:type="dxa"/>
        <w:tblLayout w:type="fixed"/>
        <w:tblLook w:val="0000"/>
      </w:tblPr>
      <w:tblGrid>
        <w:gridCol w:w="2572"/>
        <w:gridCol w:w="2356"/>
        <w:gridCol w:w="2410"/>
        <w:gridCol w:w="2833"/>
        <w:tblGridChange w:id="0">
          <w:tblGrid>
            <w:gridCol w:w="2572"/>
            <w:gridCol w:w="2356"/>
            <w:gridCol w:w="2410"/>
            <w:gridCol w:w="2833"/>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галузь знань</w:t>
            </w:r>
          </w:p>
        </w:tc>
        <w:tc>
          <w:tcPr>
            <w:shd w:fill="auto" w:val="clear"/>
            <w:tcMar>
              <w:top w:w="0.0" w:type="dxa"/>
              <w:left w:w="108.0" w:type="dxa"/>
              <w:bottom w:w="0.0" w:type="dxa"/>
              <w:right w:w="108.0" w:type="dxa"/>
            </w:tcMar>
            <w:vAlign w:val="cente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Інформаційні технології</w:t>
            </w:r>
          </w:p>
        </w:tc>
        <w:tc>
          <w:tcPr>
            <w:shd w:fill="auto" w:val="clear"/>
            <w:tcMar>
              <w:top w:w="0.0" w:type="dxa"/>
              <w:left w:w="108.0" w:type="dxa"/>
              <w:bottom w:w="0.0" w:type="dxa"/>
              <w:right w:w="108.0" w:type="dxa"/>
            </w:tcMar>
            <w:vAlign w:val="cente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rPr/>
            </w:pPr>
            <w:r w:rsidDel="00000000" w:rsidR="00000000" w:rsidRPr="00000000">
              <w:rPr>
                <w:rFonts w:ascii="Times New Roman" w:cs="Times New Roman" w:eastAsia="Times New Roman" w:hAnsi="Times New Roman"/>
                <w:b w:val="1"/>
                <w:rtl w:val="0"/>
              </w:rPr>
              <w:t xml:space="preserve">Field of Knowledge</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rPr/>
            </w:pPr>
            <w:r w:rsidDel="00000000" w:rsidR="00000000" w:rsidRPr="00000000">
              <w:rPr>
                <w:rFonts w:ascii="Times New Roman" w:cs="Times New Roman" w:eastAsia="Times New Roman" w:hAnsi="Times New Roman"/>
                <w:rtl w:val="0"/>
              </w:rPr>
              <w:t xml:space="preserve">F Information Technologies</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спеціальність</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спеціалізація (предметна спеціальність, вид)</w:t>
            </w:r>
          </w:p>
        </w:tc>
        <w:tc>
          <w:tcPr>
            <w:shd w:fill="auto" w:val="clear"/>
            <w:tcMar>
              <w:top w:w="0.0" w:type="dxa"/>
              <w:left w:w="108.0" w:type="dxa"/>
              <w:bottom w:w="0.0" w:type="dxa"/>
              <w:right w:w="108.0" w:type="dxa"/>
            </w:tcMar>
            <w:vAlign w:val="cente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F4 Системний аналіз та наука про дані</w:t>
            </w:r>
          </w:p>
        </w:tc>
        <w:tc>
          <w:tcPr>
            <w:shd w:fill="auto" w:val="clear"/>
            <w:tcMar>
              <w:top w:w="0.0" w:type="dxa"/>
              <w:left w:w="108.0" w:type="dxa"/>
              <w:bottom w:w="0.0" w:type="dxa"/>
              <w:right w:w="108.0" w:type="dxa"/>
            </w:tcMar>
            <w:vAlign w:val="cente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rPr/>
            </w:pPr>
            <w:r w:rsidDel="00000000" w:rsidR="00000000" w:rsidRPr="00000000">
              <w:rPr>
                <w:rFonts w:ascii="Times New Roman" w:cs="Times New Roman" w:eastAsia="Times New Roman" w:hAnsi="Times New Roman"/>
                <w:b w:val="1"/>
                <w:rtl w:val="0"/>
              </w:rPr>
              <w:t xml:space="preserve">Specialty</w:t>
            </w: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rPr/>
            </w:pPr>
            <w:r w:rsidDel="00000000" w:rsidR="00000000" w:rsidRPr="00000000">
              <w:rPr>
                <w:rFonts w:ascii="Times New Roman" w:cs="Times New Roman" w:eastAsia="Times New Roman" w:hAnsi="Times New Roman"/>
                <w:b w:val="1"/>
                <w:rtl w:val="0"/>
              </w:rPr>
              <w:t xml:space="preserve">Specialization (Subject Specialization, Type)</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rPr/>
            </w:pPr>
            <w:r w:rsidDel="00000000" w:rsidR="00000000" w:rsidRPr="00000000">
              <w:rPr>
                <w:rFonts w:ascii="Times New Roman" w:cs="Times New Roman" w:eastAsia="Times New Roman" w:hAnsi="Times New Roman"/>
                <w:rtl w:val="0"/>
              </w:rPr>
              <w:t xml:space="preserve">F4 Systems Analysis and Data Science</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освітня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кваліфікація</w:t>
            </w:r>
          </w:p>
        </w:tc>
        <w:tc>
          <w:tcPr>
            <w:shd w:fill="auto" w:val="clear"/>
            <w:tcMar>
              <w:top w:w="0.0" w:type="dxa"/>
              <w:left w:w="108.0" w:type="dxa"/>
              <w:bottom w:w="0.0" w:type="dxa"/>
              <w:right w:w="108.0" w:type="dxa"/>
            </w:tcMar>
            <w:vAlign w:val="cente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Магістр з системного аналізу та науки про дані</w:t>
            </w:r>
          </w:p>
        </w:tc>
        <w:tc>
          <w:tcPr>
            <w:shd w:fill="auto" w:val="clear"/>
            <w:tcMar>
              <w:top w:w="0.0" w:type="dxa"/>
              <w:left w:w="108.0" w:type="dxa"/>
              <w:bottom w:w="0.0" w:type="dxa"/>
              <w:right w:w="108.0" w:type="dxa"/>
            </w:tcMar>
            <w:vAlign w:val="cente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rPr/>
            </w:pPr>
            <w:r w:rsidDel="00000000" w:rsidR="00000000" w:rsidRPr="00000000">
              <w:rPr>
                <w:rFonts w:ascii="Times New Roman" w:cs="Times New Roman" w:eastAsia="Times New Roman" w:hAnsi="Times New Roman"/>
                <w:b w:val="1"/>
                <w:rtl w:val="0"/>
              </w:rPr>
              <w:t xml:space="preserve">Educational Qualification</w:t>
            </w: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rPr/>
            </w:pPr>
            <w:r w:rsidDel="00000000" w:rsidR="00000000" w:rsidRPr="00000000">
              <w:rPr>
                <w:rFonts w:ascii="Times New Roman" w:cs="Times New Roman" w:eastAsia="Times New Roman" w:hAnsi="Times New Roman"/>
                <w:rtl w:val="0"/>
              </w:rPr>
              <w:t xml:space="preserve">Master’s in Systems Analysis</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професійна кваліфікація</w:t>
            </w:r>
          </w:p>
        </w:tc>
        <w:tc>
          <w:tcPr>
            <w:shd w:fill="auto" w:val="clear"/>
            <w:tcMar>
              <w:top w:w="0.0" w:type="dxa"/>
              <w:left w:w="108.0" w:type="dxa"/>
              <w:bottom w:w="0.0" w:type="dxa"/>
              <w:right w:w="108.0" w:type="dxa"/>
            </w:tcMar>
            <w:vAlign w:val="cente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rPr/>
            </w:pPr>
            <w:r w:rsidDel="00000000" w:rsidR="00000000" w:rsidRPr="00000000">
              <w:rPr>
                <w:rFonts w:ascii="Times New Roman" w:cs="Times New Roman" w:eastAsia="Times New Roman" w:hAnsi="Times New Roman"/>
                <w:b w:val="1"/>
                <w:rtl w:val="0"/>
              </w:rPr>
              <w:t xml:space="preserve">Professional Qualification</w:t>
            </w: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24"/>
          <w:szCs w:val="24"/>
        </w:rPr>
      </w:pPr>
      <w:r w:rsidDel="00000000" w:rsidR="00000000" w:rsidRPr="00000000">
        <w:rPr>
          <w:rtl w:val="0"/>
        </w:rPr>
      </w:r>
    </w:p>
    <w:tbl>
      <w:tblPr>
        <w:tblStyle w:val="Table3"/>
        <w:tblW w:w="6639.0" w:type="dxa"/>
        <w:jc w:val="left"/>
        <w:tblInd w:w="3742.0" w:type="dxa"/>
        <w:tblLayout w:type="fixed"/>
        <w:tblLook w:val="0000"/>
      </w:tblPr>
      <w:tblGrid>
        <w:gridCol w:w="6639"/>
        <w:tblGridChange w:id="0">
          <w:tblGrid>
            <w:gridCol w:w="6639"/>
          </w:tblGrid>
        </w:tblGridChange>
      </w:tblGrid>
      <w:tr>
        <w:trPr>
          <w:cantSplit w:val="0"/>
          <w:tblHeader w:val="0"/>
        </w:trPr>
        <w:tc>
          <w:tcPr>
            <w:shd w:fill="auto" w:val="clear"/>
            <w:tcMar>
              <w:top w:w="0.0" w:type="dxa"/>
              <w:left w:w="108.0" w:type="dxa"/>
              <w:bottom w:w="0.0" w:type="dxa"/>
              <w:right w:w="108.0" w:type="dxa"/>
            </w:tcMar>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ID:82476</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56" w:lineRule="auto"/>
              <w:ind w:hanging="2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56" w:lineRule="auto"/>
              <w:ind w:hanging="2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56" w:lineRule="auto"/>
              <w:ind w:hanging="27"/>
              <w:rPr>
                <w:sz w:val="22"/>
                <w:szCs w:val="22"/>
              </w:rPr>
            </w:pPr>
            <w:r w:rsidDel="00000000" w:rsidR="00000000" w:rsidRPr="00000000">
              <w:rPr>
                <w:rFonts w:ascii="Times New Roman" w:cs="Times New Roman" w:eastAsia="Times New Roman" w:hAnsi="Times New Roman"/>
                <w:sz w:val="24"/>
                <w:szCs w:val="24"/>
                <w:rtl w:val="0"/>
              </w:rPr>
              <w:t xml:space="preserve">Схвалено вченою радою НУ «Запорізька політехніка /  </w:t>
            </w:r>
            <w:r w:rsidDel="00000000" w:rsidR="00000000" w:rsidRPr="00000000">
              <w:rPr>
                <w:rFonts w:ascii="Arial" w:cs="Arial" w:eastAsia="Arial" w:hAnsi="Arial"/>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Approved by the Academic Council National University     «Zaporizhzhia Polytechnic»</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56" w:lineRule="auto"/>
              <w:ind w:hanging="27"/>
              <w:rPr>
                <w:sz w:val="22"/>
                <w:szCs w:val="22"/>
              </w:rPr>
            </w:pPr>
            <w:r w:rsidDel="00000000" w:rsidR="00000000" w:rsidRPr="00000000">
              <w:rPr>
                <w:rFonts w:ascii="Times New Roman" w:cs="Times New Roman" w:eastAsia="Times New Roman" w:hAnsi="Times New Roman"/>
                <w:sz w:val="24"/>
                <w:szCs w:val="24"/>
                <w:rtl w:val="0"/>
              </w:rPr>
              <w:t xml:space="preserve">(протокол / minutes №12 від / dated 27.06.2025 р.)</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56" w:lineRule="auto"/>
              <w:ind w:hanging="27"/>
              <w:rPr>
                <w:sz w:val="22"/>
                <w:szCs w:val="22"/>
              </w:rPr>
            </w:pPr>
            <w:r w:rsidDel="00000000" w:rsidR="00000000" w:rsidRPr="00000000">
              <w:rPr>
                <w:rFonts w:ascii="Times New Roman" w:cs="Times New Roman" w:eastAsia="Times New Roman" w:hAnsi="Times New Roman"/>
                <w:sz w:val="24"/>
                <w:szCs w:val="24"/>
                <w:rtl w:val="0"/>
              </w:rPr>
              <w:t xml:space="preserve">Голова вченої ради / Chair of the Academic Council </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56" w:lineRule="auto"/>
              <w:ind w:hanging="27"/>
              <w:rPr>
                <w:sz w:val="22"/>
                <w:szCs w:val="22"/>
              </w:rPr>
            </w:pPr>
            <w:r w:rsidDel="00000000" w:rsidR="00000000" w:rsidRPr="00000000">
              <w:rPr>
                <w:rFonts w:ascii="Times New Roman" w:cs="Times New Roman" w:eastAsia="Times New Roman" w:hAnsi="Times New Roman"/>
                <w:sz w:val="24"/>
                <w:szCs w:val="24"/>
                <w:rtl w:val="0"/>
              </w:rPr>
              <w:t xml:space="preserve">_______Володимир </w:t>
            </w:r>
            <w:r w:rsidDel="00000000" w:rsidR="00000000" w:rsidRPr="00000000">
              <w:rPr>
                <w:rFonts w:ascii="Times New Roman" w:cs="Times New Roman" w:eastAsia="Times New Roman" w:hAnsi="Times New Roman"/>
                <w:smallCaps w:val="1"/>
                <w:sz w:val="24"/>
                <w:szCs w:val="24"/>
                <w:rtl w:val="0"/>
              </w:rPr>
              <w:t xml:space="preserve">БАХРУШИН</w:t>
            </w:r>
            <w:r w:rsidDel="00000000" w:rsidR="00000000" w:rsidRPr="00000000">
              <w:rPr>
                <w:rFonts w:ascii="Times New Roman" w:cs="Times New Roman" w:eastAsia="Times New Roman" w:hAnsi="Times New Roman"/>
                <w:sz w:val="24"/>
                <w:szCs w:val="24"/>
                <w:rtl w:val="0"/>
              </w:rPr>
              <w:t xml:space="preserve">/Volodymyr BAKHRUSHYN</w:t>
            </w:r>
            <w:r w:rsidDel="00000000" w:rsidR="00000000" w:rsidRPr="00000000">
              <w:rPr>
                <w:rtl w:val="0"/>
              </w:rPr>
            </w:r>
          </w:p>
        </w:tc>
      </w:tr>
    </w:tbl>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ind w:right="1"/>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ind w:right="1"/>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ind w:right="1"/>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Запоріжжя / Zaporizhzhia</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ind w:right="1"/>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2025</w:t>
      </w:r>
      <w:r w:rsidDel="00000000" w:rsidR="00000000" w:rsidRPr="00000000">
        <w:br w:type="page"/>
      </w: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ПРЕАМБУЛА / PREAMBLE</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Освітньо-професійна програма «Інтелектуальні технології та прийняття рішень в складних системах» підготовки магістрів з системного аналізу розроблено на основі Національної рамки кваліфікацій, що була затверджена постановою Кабінетом міністрів України від 23 листопада 2011 р. № 1341 «Про затвердження Національної рамки кваліфікацій»</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8"/>
          <w:szCs w:val="28"/>
        </w:rPr>
      </w:pPr>
      <w:hyperlink r:id="rId8">
        <w:r w:rsidDel="00000000" w:rsidR="00000000" w:rsidRPr="00000000">
          <w:rPr>
            <w:rFonts w:ascii="Times New Roman" w:cs="Times New Roman" w:eastAsia="Times New Roman" w:hAnsi="Times New Roman"/>
            <w:sz w:val="28"/>
            <w:szCs w:val="28"/>
            <w:u w:val="single"/>
            <w:rtl w:val="0"/>
          </w:rPr>
          <w:t xml:space="preserve">https://zakon.rada.gov.ua/laws/show/1341-2011-%D0%BF#Text</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sz w:val="19"/>
          <w:szCs w:val="19"/>
        </w:rPr>
      </w:pPr>
      <w:r w:rsidDel="00000000" w:rsidR="00000000" w:rsidRPr="00000000">
        <w:rPr>
          <w:rFonts w:ascii="Times New Roman" w:cs="Times New Roman" w:eastAsia="Times New Roman" w:hAnsi="Times New Roman"/>
          <w:sz w:val="28"/>
          <w:szCs w:val="28"/>
          <w:rtl w:val="0"/>
        </w:rPr>
        <w:t xml:space="preserve">та із урахуванням ряду положень стандарту вищої освіти, затвердженого наказом Міністерства освіти і науки України від 18.03.2021 р. № 331 «Про затвердження стандарту вищої освіти за спеціальністю 124 «Системний аналіз» для другого (магістерського) рівня вищої освіти.</w:t>
      </w: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8"/>
          <w:szCs w:val="28"/>
          <w:u w:val="single"/>
        </w:rPr>
      </w:pPr>
      <w:hyperlink r:id="rId9">
        <w:r w:rsidDel="00000000" w:rsidR="00000000" w:rsidRPr="00000000">
          <w:rPr>
            <w:rFonts w:ascii="Times New Roman" w:cs="Times New Roman" w:eastAsia="Times New Roman" w:hAnsi="Times New Roman"/>
            <w:sz w:val="28"/>
            <w:szCs w:val="28"/>
            <w:u w:val="single"/>
            <w:rtl w:val="0"/>
          </w:rPr>
          <w:t xml:space="preserve">https://mon.gov.ua/static-objects/mon/sites/1/vyshcha/standarty/2021/03/19/124%20Systemnyy%20analiz_mahistr_18_03_21_331.doc</w:t>
        </w:r>
      </w:hyperlink>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76" w:lineRule="auto"/>
        <w:rPr>
          <w:rFonts w:ascii="Arial" w:cs="Arial" w:eastAsia="Arial" w:hAnsi="Arial"/>
          <w:sz w:val="19"/>
          <w:szCs w:val="19"/>
        </w:rPr>
      </w:pP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76" w:lineRule="auto"/>
        <w:ind w:firstLine="709"/>
        <w:jc w:val="both"/>
        <w:rPr>
          <w:rFonts w:ascii="Arial" w:cs="Arial" w:eastAsia="Arial" w:hAnsi="Arial"/>
          <w:sz w:val="19"/>
          <w:szCs w:val="19"/>
        </w:rPr>
      </w:pPr>
      <w:r w:rsidDel="00000000" w:rsidR="00000000" w:rsidRPr="00000000">
        <w:rPr>
          <w:rFonts w:ascii="Times New Roman" w:cs="Times New Roman" w:eastAsia="Times New Roman" w:hAnsi="Times New Roman"/>
          <w:sz w:val="28"/>
          <w:szCs w:val="28"/>
          <w:rtl w:val="0"/>
        </w:rPr>
        <w:t xml:space="preserve">The educational and professional program “Intelligent Technologies and Decision-Making in Complex Systems” for the training of master’s degree students in systems analysis has been developed on the basis of the National Qualifications Framework, which was approved by the Resolution of the Cabinet of Ministers of Ukraine dated November 23, 2011 No. 1341 “On Approval of the National Qualifications Framework”, and  taking into account the provisions of the higher education standard approved by Order No. 331 of the Ministry of Education and Science of Ukraine dated March 18, 2021, “On the approval of the higher education standard in Specialty 124 ‘Systems Analysis’ for the second (master’s) level of higher education.</w:t>
      </w: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8"/>
          <w:szCs w:val="28"/>
          <w:u w:val="single"/>
        </w:rPr>
      </w:pPr>
      <w:hyperlink r:id="rId10">
        <w:r w:rsidDel="00000000" w:rsidR="00000000" w:rsidRPr="00000000">
          <w:rPr>
            <w:rFonts w:ascii="Times New Roman" w:cs="Times New Roman" w:eastAsia="Times New Roman" w:hAnsi="Times New Roman"/>
            <w:sz w:val="28"/>
            <w:szCs w:val="28"/>
            <w:u w:val="single"/>
            <w:rtl w:val="0"/>
          </w:rPr>
          <w:t xml:space="preserve">https://mon.gov.ua/static-objects/mon/sites/1/vyshcha/standarty/2021/03/19/124%20Systemnyy%20analiz_mahistr_18_03_21_331.doc</w:t>
        </w:r>
      </w:hyperlink>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76" w:lineRule="auto"/>
        <w:jc w:val="center"/>
        <w:rPr>
          <w:rFonts w:ascii="Arial" w:cs="Arial" w:eastAsia="Arial" w:hAnsi="Arial"/>
          <w:sz w:val="19"/>
          <w:szCs w:val="19"/>
        </w:rPr>
      </w:pPr>
      <w:r w:rsidDel="00000000" w:rsidR="00000000" w:rsidRPr="00000000">
        <w:rPr>
          <w:rFonts w:ascii="Times New Roman" w:cs="Times New Roman" w:eastAsia="Times New Roman" w:hAnsi="Times New Roman"/>
          <w:b w:val="1"/>
          <w:sz w:val="28"/>
          <w:szCs w:val="28"/>
          <w:rtl w:val="0"/>
        </w:rPr>
        <w:t xml:space="preserve">РОЗРОБЛЕНО / DESIGNED</w:t>
      </w: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76" w:lineRule="auto"/>
        <w:rPr>
          <w:rFonts w:ascii="Arial" w:cs="Arial" w:eastAsia="Arial" w:hAnsi="Arial"/>
          <w:sz w:val="19"/>
          <w:szCs w:val="19"/>
        </w:rPr>
      </w:pP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ind w:firstLine="709"/>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Керівник робочої групи / Head of the project team:</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ind w:firstLine="709"/>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ind w:firstLine="709"/>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БАКУРОВА Анна Володимирівна, д.е.н., к.ф.-м.н., професор, професор кафедри системного аналізу та обчислювальної математики Національного університету «Запорізька політехніка»</w:t>
      </w:r>
      <w:r w:rsidDel="00000000" w:rsidR="00000000" w:rsidRPr="00000000">
        <w:rPr>
          <w:rFonts w:ascii="Times New Roman" w:cs="Times New Roman" w:eastAsia="Times New Roman" w:hAnsi="Times New Roman"/>
          <w:i w:val="1"/>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BAKUROVA Anna Volodymyrivna, Doctor of Economics Sciences, Candidate of Physical and Mathematical Sciences (PhD), Professor, Professor at the Department of System Analysis and Computational Mathematics, National University “Zaporizhzhia Polytechnic”;</w:t>
      </w: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ind w:firstLine="709"/>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ind w:firstLine="709"/>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Члени робочої групи / Project team members:</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ind w:firstLine="709"/>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76"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БАХРУШИН Володимир Євгенович, д.ф.-м.н., професор, професор кафедри системного аналізу та обчислювальної математики Національного університету «Запорізька політехніка» / BAKHRUSHYN Volodymyr Yevhenovych, Doctor of Physical and Mathematical Sciences, Professor, Professor at the Department of System Analysis and Computational Mathematics, National University “Zaporizhzhia Polytechnic”; </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76"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КОРНІЧ Григорій Володимирович, д.ф.-м.н., професор, професор кафедри системного аналізу та обчислювальної математики Національного університету «Запорізька політехніка» / KORNICH Grygoriy Volodymyrovych, Doctor of Physical and Mathematical Sciences, Professor, Professor at the Department of System Analysis and Computational Mathematics, National University “Zaporizhzhia Polytechnic”;</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76"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ТЕРЕЩЕНКО Еліна Валентинівна, к.ф.-м.н., доцент, в.о. зав. кафедри системного аналізу та обчислювальної математики Національного університету «Запорізька політехніка» / TERESHCHENKO Elina Valentynivna, Candidate of Physical and Mathematical Sciences (PhD), Docent, Acting Head of the Department of Systems Analysis and Computational Mathematics, National University “Zaporizhzhia Polytechnic”;</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76"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ШИРОКОРАД Дмитро Вікторович, к.ф.-м.н., доцент, доцент кафедри системного аналізу та обчислювальної математики Національного університету «Запорізька політехніка» / SHYROKORAD Dmytro Viktorovych, Candidate of Physical and Mathematical Sciences (PhD), Docent, Associate Professor at the Department of Systems Analysis and Computational Mathematics, National University “Zaporizhzhia Polytechnic”, гарант освітньої програм.</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ind w:firstLine="709"/>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Представники стейкхолдерів/ Stakeholder representatives:</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ind w:firstLine="709"/>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РОПАЛО Денис Андрійович, провідний менеджер з маркетингу ПрАТ «Аптеки Запоріжжя» / ROPALO Denys Andriyovych, Lead Marketing Manager at PJSC “Apteky Zaporizhzhia”.</w:t>
      </w:r>
      <w:r w:rsidDel="00000000" w:rsidR="00000000" w:rsidRPr="00000000">
        <w:br w:type="page"/>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28"/>
          <w:szCs w:val="28"/>
          <w:rtl w:val="0"/>
        </w:rPr>
        <w:t xml:space="preserve">ЛИСТ ПОГОДЖЕННЯ / APPROVAL SHEET</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освітньо-професійної (освітньо-наукової) програми </w:t>
      </w:r>
      <w:r w:rsidDel="00000000" w:rsidR="00000000" w:rsidRPr="00000000">
        <w:rPr>
          <w:rFonts w:ascii="Times New Roman" w:cs="Times New Roman" w:eastAsia="Times New Roman" w:hAnsi="Times New Roman"/>
          <w:b w:val="1"/>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educational and professional (educational and scientific) program</w:t>
      </w:r>
    </w:p>
    <w:p w:rsidR="00000000" w:rsidDel="00000000" w:rsidP="00000000" w:rsidRDefault="00000000" w:rsidRPr="00000000" w14:paraId="00000056">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4"/>
          <w:szCs w:val="24"/>
        </w:rPr>
      </w:pPr>
      <w:r w:rsidDel="00000000" w:rsidR="00000000" w:rsidRPr="00000000">
        <w:rPr>
          <w:rtl w:val="0"/>
        </w:rPr>
      </w:r>
    </w:p>
    <w:tbl>
      <w:tblPr>
        <w:tblStyle w:val="Table4"/>
        <w:tblW w:w="10100.0" w:type="dxa"/>
        <w:jc w:val="left"/>
        <w:tblInd w:w="-216.0" w:type="dxa"/>
        <w:tblLayout w:type="fixed"/>
        <w:tblLook w:val="0000"/>
      </w:tblPr>
      <w:tblGrid>
        <w:gridCol w:w="10100"/>
        <w:tblGridChange w:id="0">
          <w:tblGrid>
            <w:gridCol w:w="10100"/>
          </w:tblGrid>
        </w:tblGridChange>
      </w:tblGrid>
      <w:tr>
        <w:trPr>
          <w:cantSplit w:val="0"/>
          <w:trHeight w:val="371" w:hRule="atLeast"/>
          <w:tblHeader w:val="0"/>
        </w:trPr>
        <w:tc>
          <w:tcPr>
            <w:shd w:fill="auto" w:val="clear"/>
            <w:tcMar>
              <w:top w:w="0.0" w:type="dxa"/>
              <w:left w:w="108.0" w:type="dxa"/>
              <w:bottom w:w="0.0" w:type="dxa"/>
              <w:right w:w="108.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24"/>
                <w:szCs w:val="24"/>
              </w:rPr>
            </w:pPr>
            <w:r w:rsidDel="00000000" w:rsidR="00000000" w:rsidRPr="00000000">
              <w:rPr>
                <w:rtl w:val="0"/>
              </w:rPr>
            </w:r>
          </w:p>
          <w:tbl>
            <w:tblPr>
              <w:tblStyle w:val="Table5"/>
              <w:tblW w:w="10021.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5010"/>
              <w:gridCol w:w="74"/>
              <w:gridCol w:w="4937"/>
              <w:tblGridChange w:id="0">
                <w:tblGrid>
                  <w:gridCol w:w="5010"/>
                  <w:gridCol w:w="74"/>
                  <w:gridCol w:w="4937"/>
                </w:tblGrid>
              </w:tblGridChange>
            </w:tblGrid>
            <w:tr>
              <w:trPr>
                <w:cantSplit w:val="0"/>
                <w:tblHeader w:val="0"/>
              </w:trPr>
              <w:tc>
                <w:tcPr>
                  <w:gridSpan w:val="2"/>
                </w:tcPr>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ПОГОДЖЕНО / APPROVED</w:t>
                  </w:r>
                  <w:r w:rsidDel="00000000" w:rsidR="00000000" w:rsidRPr="00000000">
                    <w:rPr>
                      <w:rtl w:val="0"/>
                    </w:rPr>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rPr>
                      <w:rFonts w:ascii="Times New Roman" w:cs="Times New Roman" w:eastAsia="Times New Roman" w:hAnsi="Times New Roman"/>
                      <w:b w:val="1"/>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 засіданні кафедри</w:t>
                  </w:r>
                  <w:r w:rsidDel="00000000" w:rsidR="00000000" w:rsidRPr="00000000">
                    <w:rPr>
                      <w:sz w:val="24"/>
                      <w:szCs w:val="24"/>
                      <w:rtl w:val="0"/>
                    </w:rPr>
                    <w:t xml:space="preserve"> </w:t>
                  </w:r>
                  <w:r w:rsidDel="00000000" w:rsidR="00000000" w:rsidRPr="00000000">
                    <w:rPr>
                      <w:rFonts w:ascii="Arial" w:cs="Arial" w:eastAsia="Arial" w:hAnsi="Arial"/>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at the meeting of the department Системний аналіз та обчислювальна математика / System Analysis and Computational Mathematics</w:t>
                  </w:r>
                  <w:r w:rsidDel="00000000" w:rsidR="00000000" w:rsidRPr="00000000">
                    <w:rPr>
                      <w:rtl w:val="0"/>
                    </w:rPr>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Minutes № ___</w:t>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 from _________ 2025 р.</w:t>
                  </w:r>
                </w:p>
              </w:tc>
            </w:tr>
            <w:tr>
              <w:trPr>
                <w:cantSplit w:val="0"/>
                <w:tblHeader w:val="0"/>
              </w:trPr>
              <w:tc>
                <w:tcPr>
                  <w:gridSpan w:val="2"/>
                </w:tcPr>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6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Завідувач кафедри / Head of the Department</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jc w:val="both"/>
                    <w:rPr>
                      <w:sz w:val="24"/>
                      <w:szCs w:val="24"/>
                    </w:rPr>
                  </w:pPr>
                  <w:r w:rsidDel="00000000" w:rsidR="00000000" w:rsidRPr="00000000">
                    <w:rPr>
                      <w:rFonts w:ascii="Times New Roman" w:cs="Times New Roman" w:eastAsia="Times New Roman" w:hAnsi="Times New Roman"/>
                      <w:sz w:val="24"/>
                      <w:szCs w:val="24"/>
                      <w:rtl w:val="0"/>
                    </w:rPr>
                    <w:t xml:space="preserve">______________              Еліна ТЕРЕЩЕНКО</w:t>
                  </w:r>
                  <w:r w:rsidDel="00000000" w:rsidR="00000000" w:rsidRPr="00000000">
                    <w:rPr>
                      <w:rFonts w:ascii="Times New Roman" w:cs="Times New Roman" w:eastAsia="Times New Roman" w:hAnsi="Times New Roman"/>
                      <w:smallCaps w:val="1"/>
                      <w:sz w:val="24"/>
                      <w:szCs w:val="24"/>
                      <w:rtl w:val="0"/>
                    </w:rPr>
                    <w:t xml:space="preserve"> </w:t>
                  </w:r>
                  <w:r w:rsidDel="00000000" w:rsidR="00000000" w:rsidRPr="00000000">
                    <w:rPr>
                      <w:rFonts w:ascii="Arial" w:cs="Arial" w:eastAsia="Arial" w:hAnsi="Arial"/>
                      <w:b w:val="1"/>
                      <w:sz w:val="24"/>
                      <w:szCs w:val="24"/>
                      <w:rtl w:val="0"/>
                    </w:rPr>
                    <w:t xml:space="preserve">/</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Elina TERESCHENKO</w:t>
                  </w:r>
                  <w:r w:rsidDel="00000000" w:rsidR="00000000" w:rsidRPr="00000000">
                    <w:rPr>
                      <w:rtl w:val="0"/>
                    </w:rPr>
                  </w:r>
                </w:p>
              </w:tc>
            </w:tr>
            <w:tr>
              <w:trPr>
                <w:cantSplit w:val="0"/>
                <w:tblHeader w:val="0"/>
              </w:trPr>
              <w:tc>
                <w:tcPr>
                  <w:gridSpan w:val="2"/>
                </w:tcPr>
                <w:p w:rsidR="00000000" w:rsidDel="00000000" w:rsidP="00000000" w:rsidRDefault="00000000" w:rsidRPr="00000000" w14:paraId="0000006A">
                  <w:pPr>
                    <w:pBdr>
                      <w:top w:space="0" w:sz="0" w:val="nil"/>
                      <w:left w:space="0" w:sz="0" w:val="nil"/>
                      <w:bottom w:space="0" w:sz="0" w:val="nil"/>
                      <w:right w:space="0" w:sz="0" w:val="nil"/>
                      <w:between w:space="0" w:sz="0" w:val="nil"/>
                    </w:pBd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Науково-методичною комісією факультету комп’ютерних наук і технологій</w:t>
                  </w: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Faculty Scientific and Methodological Commission of the Faculty of Computer Science and Technology</w:t>
                  </w:r>
                </w:p>
              </w:tc>
            </w:tr>
            <w:tr>
              <w:trPr>
                <w:cantSplit w:val="0"/>
                <w:tblHeader w:val="0"/>
              </w:trPr>
              <w:tc>
                <w:tcPr/>
                <w:p w:rsidR="00000000" w:rsidDel="00000000" w:rsidP="00000000" w:rsidRDefault="00000000" w:rsidRPr="00000000" w14:paraId="00000071">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 Minutes № ___</w:t>
                  </w:r>
                </w:p>
              </w:tc>
              <w:tc>
                <w:tcPr>
                  <w:gridSpan w:val="2"/>
                </w:tcPr>
                <w:p w:rsidR="00000000" w:rsidDel="00000000" w:rsidP="00000000" w:rsidRDefault="00000000" w:rsidRPr="00000000" w14:paraId="00000073">
                  <w:pPr>
                    <w:pBdr>
                      <w:top w:space="0" w:sz="0" w:val="nil"/>
                      <w:left w:space="0" w:sz="0" w:val="nil"/>
                      <w:bottom w:space="0" w:sz="0" w:val="nil"/>
                      <w:right w:space="0" w:sz="0" w:val="nil"/>
                      <w:between w:space="0" w:sz="0" w:val="nil"/>
                    </w:pBd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 from _________ 2025 р.</w:t>
                  </w:r>
                </w:p>
              </w:tc>
            </w:tr>
            <w:tr>
              <w:trPr>
                <w:cantSplit w:val="0"/>
                <w:tblHeader w:val="0"/>
              </w:trPr>
              <w:tc>
                <w:tcPr/>
                <w:p w:rsidR="00000000" w:rsidDel="00000000" w:rsidP="00000000" w:rsidRDefault="00000000" w:rsidRPr="00000000" w14:paraId="0000007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077">
                  <w:pPr>
                    <w:pBdr>
                      <w:top w:space="0" w:sz="0" w:val="nil"/>
                      <w:left w:space="0" w:sz="0" w:val="nil"/>
                      <w:bottom w:space="0" w:sz="0" w:val="nil"/>
                      <w:right w:space="0" w:sz="0" w:val="nil"/>
                      <w:between w:space="0" w:sz="0" w:val="nil"/>
                    </w:pBd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Голова науково-методичної комісії факультету компютерних наук і технологій </w:t>
                  </w:r>
                  <w:r w:rsidDel="00000000" w:rsidR="00000000" w:rsidRPr="00000000">
                    <w:rPr>
                      <w:rFonts w:ascii="Arial" w:cs="Arial" w:eastAsia="Arial" w:hAnsi="Arial"/>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Chair of the Scientific and Methodological Commission of the Faculty of Computer Science and Technology</w:t>
                  </w:r>
                </w:p>
              </w:tc>
              <w:tc>
                <w:tcPr>
                  <w:gridSpan w:val="2"/>
                </w:tcPr>
                <w:p w:rsidR="00000000" w:rsidDel="00000000" w:rsidP="00000000" w:rsidRDefault="00000000" w:rsidRPr="00000000" w14:paraId="0000007A">
                  <w:pPr>
                    <w:pBdr>
                      <w:top w:space="0" w:sz="0" w:val="nil"/>
                      <w:left w:space="0" w:sz="0" w:val="nil"/>
                      <w:bottom w:space="0" w:sz="0" w:val="nil"/>
                      <w:right w:space="0" w:sz="0" w:val="nil"/>
                      <w:between w:space="0" w:sz="0" w:val="nil"/>
                    </w:pBdr>
                    <w:jc w:val="both"/>
                    <w:rPr>
                      <w:sz w:val="24"/>
                      <w:szCs w:val="24"/>
                    </w:rPr>
                  </w:pPr>
                  <w:r w:rsidDel="00000000" w:rsidR="00000000" w:rsidRPr="00000000">
                    <w:rPr>
                      <w:rFonts w:ascii="Times New Roman" w:cs="Times New Roman" w:eastAsia="Times New Roman" w:hAnsi="Times New Roman"/>
                      <w:sz w:val="24"/>
                      <w:szCs w:val="24"/>
                      <w:rtl w:val="0"/>
                    </w:rPr>
                    <w:t xml:space="preserve">______________                 Микола КАСЬЯН</w:t>
                  </w:r>
                  <w:r w:rsidDel="00000000" w:rsidR="00000000" w:rsidRPr="00000000">
                    <w:rPr>
                      <w:rFonts w:ascii="Times New Roman" w:cs="Times New Roman" w:eastAsia="Times New Roman" w:hAnsi="Times New Roman"/>
                      <w:smallCaps w:val="1"/>
                      <w:sz w:val="24"/>
                      <w:szCs w:val="24"/>
                      <w:rtl w:val="0"/>
                    </w:rPr>
                    <w:t xml:space="preserve"> </w:t>
                  </w:r>
                  <w:r w:rsidDel="00000000" w:rsidR="00000000" w:rsidRPr="00000000">
                    <w:rPr>
                      <w:rFonts w:ascii="Arial" w:cs="Arial" w:eastAsia="Arial" w:hAnsi="Arial"/>
                      <w:b w:val="1"/>
                      <w:sz w:val="24"/>
                      <w:szCs w:val="24"/>
                      <w:rtl w:val="0"/>
                    </w:rPr>
                    <w:t xml:space="preserve">/</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Mykola KASIAN</w:t>
                  </w:r>
                  <w:r w:rsidDel="00000000" w:rsidR="00000000" w:rsidRPr="00000000">
                    <w:rPr>
                      <w:rtl w:val="0"/>
                    </w:rPr>
                  </w:r>
                </w:p>
              </w:tc>
            </w:tr>
            <w:tr>
              <w:trPr>
                <w:cantSplit w:val="0"/>
                <w:tblHeader w:val="0"/>
              </w:trPr>
              <w:tc>
                <w:tcPr/>
                <w:p w:rsidR="00000000" w:rsidDel="00000000" w:rsidP="00000000" w:rsidRDefault="00000000" w:rsidRPr="00000000" w14:paraId="0000007D">
                  <w:pPr>
                    <w:pBdr>
                      <w:top w:space="0" w:sz="0" w:val="nil"/>
                      <w:left w:space="0" w:sz="0" w:val="nil"/>
                      <w:bottom w:space="0" w:sz="0" w:val="nil"/>
                      <w:right w:space="0" w:sz="0" w:val="nil"/>
                      <w:between w:space="0" w:sz="0" w:val="nil"/>
                    </w:pBd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07E">
                  <w:pPr>
                    <w:pBdr>
                      <w:top w:space="0" w:sz="0" w:val="nil"/>
                      <w:left w:space="0" w:sz="0" w:val="nil"/>
                      <w:bottom w:space="0" w:sz="0" w:val="nil"/>
                      <w:right w:space="0" w:sz="0" w:val="nil"/>
                      <w:between w:space="0" w:sz="0" w:val="nil"/>
                    </w:pBdr>
                    <w:jc w:val="righ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0">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Керівник навчального відділу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Head of the Academic Department</w:t>
                  </w:r>
                </w:p>
              </w:tc>
              <w:tc>
                <w:tcPr>
                  <w:gridSpan w:val="2"/>
                </w:tcPr>
                <w:p w:rsidR="00000000" w:rsidDel="00000000" w:rsidP="00000000" w:rsidRDefault="00000000" w:rsidRPr="00000000" w14:paraId="00000081">
                  <w:pPr>
                    <w:pBdr>
                      <w:top w:space="0" w:sz="0" w:val="nil"/>
                      <w:left w:space="0" w:sz="0" w:val="nil"/>
                      <w:bottom w:space="0" w:sz="0" w:val="nil"/>
                      <w:right w:space="0" w:sz="0" w:val="nil"/>
                      <w:between w:space="0" w:sz="0" w:val="nil"/>
                    </w:pBdr>
                    <w:jc w:val="both"/>
                    <w:rPr>
                      <w:rFonts w:ascii="Arial" w:cs="Arial" w:eastAsia="Arial" w:hAnsi="Arial"/>
                      <w:b w:val="1"/>
                      <w:sz w:val="24"/>
                      <w:szCs w:val="24"/>
                    </w:rPr>
                  </w:pPr>
                  <w:r w:rsidDel="00000000" w:rsidR="00000000" w:rsidRPr="00000000">
                    <w:rPr>
                      <w:rFonts w:ascii="Times New Roman" w:cs="Times New Roman" w:eastAsia="Times New Roman" w:hAnsi="Times New Roman"/>
                      <w:sz w:val="24"/>
                      <w:szCs w:val="24"/>
                      <w:rtl w:val="0"/>
                    </w:rPr>
                    <w:t xml:space="preserve">______________      Віталій ШИРОКОБОКОВ</w:t>
                  </w:r>
                  <w:r w:rsidDel="00000000" w:rsidR="00000000" w:rsidRPr="00000000">
                    <w:rPr>
                      <w:rFonts w:ascii="Times New Roman" w:cs="Times New Roman" w:eastAsia="Times New Roman" w:hAnsi="Times New Roman"/>
                      <w:smallCaps w:val="1"/>
                      <w:sz w:val="24"/>
                      <w:szCs w:val="24"/>
                      <w:rtl w:val="0"/>
                    </w:rPr>
                    <w:t xml:space="preserve"> </w:t>
                  </w:r>
                  <w:r w:rsidDel="00000000" w:rsidR="00000000" w:rsidRPr="00000000">
                    <w:rPr>
                      <w:rFonts w:ascii="Arial" w:cs="Arial" w:eastAsia="Arial" w:hAnsi="Arial"/>
                      <w:b w:val="1"/>
                      <w:sz w:val="24"/>
                      <w:szCs w:val="24"/>
                      <w:rtl w:val="0"/>
                    </w:rPr>
                    <w:t xml:space="preserve">/</w:t>
                  </w:r>
                </w:p>
                <w:p w:rsidR="00000000" w:rsidDel="00000000" w:rsidP="00000000" w:rsidRDefault="00000000" w:rsidRPr="00000000" w14:paraId="00000082">
                  <w:pPr>
                    <w:pBdr>
                      <w:top w:space="0" w:sz="0" w:val="nil"/>
                      <w:left w:space="0" w:sz="0" w:val="nil"/>
                      <w:bottom w:space="0" w:sz="0" w:val="nil"/>
                      <w:right w:space="0" w:sz="0" w:val="nil"/>
                      <w:between w:space="0" w:sz="0" w:val="nil"/>
                    </w:pBd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Vitaly SHYROKOBOKOV</w:t>
                  </w:r>
                </w:p>
              </w:tc>
            </w:tr>
            <w:tr>
              <w:trPr>
                <w:cantSplit w:val="0"/>
                <w:tblHeader w:val="0"/>
              </w:trPr>
              <w:tc>
                <w:tcPr/>
                <w:p w:rsidR="00000000" w:rsidDel="00000000" w:rsidP="00000000" w:rsidRDefault="00000000" w:rsidRPr="00000000" w14:paraId="00000084">
                  <w:pPr>
                    <w:pBdr>
                      <w:top w:space="0" w:sz="0" w:val="nil"/>
                      <w:left w:space="0" w:sz="0" w:val="nil"/>
                      <w:bottom w:space="0" w:sz="0" w:val="nil"/>
                      <w:right w:space="0" w:sz="0" w:val="nil"/>
                      <w:between w:space="0" w:sz="0" w:val="nil"/>
                    </w:pBd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085">
                  <w:pPr>
                    <w:pBdr>
                      <w:top w:space="0" w:sz="0" w:val="nil"/>
                      <w:left w:space="0" w:sz="0" w:val="nil"/>
                      <w:bottom w:space="0" w:sz="0" w:val="nil"/>
                      <w:right w:space="0" w:sz="0" w:val="nil"/>
                      <w:between w:space="0" w:sz="0" w:val="nil"/>
                    </w:pBdr>
                    <w:jc w:val="righ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7">
                  <w:pPr>
                    <w:pBdr>
                      <w:top w:space="0" w:sz="0" w:val="nil"/>
                      <w:left w:space="0" w:sz="0" w:val="nil"/>
                      <w:bottom w:space="0" w:sz="0" w:val="nil"/>
                      <w:right w:space="0" w:sz="0" w:val="nil"/>
                      <w:between w:space="0" w:sz="0" w:val="nil"/>
                    </w:pBd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ПОГОДЖЕНО / APPROVED</w:t>
                  </w:r>
                  <w:r w:rsidDel="00000000" w:rsidR="00000000" w:rsidRPr="00000000">
                    <w:rPr>
                      <w:rtl w:val="0"/>
                    </w:rPr>
                  </w:r>
                </w:p>
              </w:tc>
              <w:tc>
                <w:tcPr>
                  <w:gridSpan w:val="2"/>
                </w:tcPr>
                <w:p w:rsidR="00000000" w:rsidDel="00000000" w:rsidP="00000000" w:rsidRDefault="00000000" w:rsidRPr="00000000" w14:paraId="00000088">
                  <w:pPr>
                    <w:pBdr>
                      <w:top w:space="0" w:sz="0" w:val="nil"/>
                      <w:left w:space="0" w:sz="0" w:val="nil"/>
                      <w:bottom w:space="0" w:sz="0" w:val="nil"/>
                      <w:right w:space="0" w:sz="0" w:val="nil"/>
                      <w:between w:space="0" w:sz="0" w:val="nil"/>
                    </w:pBdr>
                    <w:jc w:val="righ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Голова науково-методичної ради</w:t>
                  </w:r>
                </w:p>
                <w:p w:rsidR="00000000" w:rsidDel="00000000" w:rsidP="00000000" w:rsidRDefault="00000000" w:rsidRPr="00000000" w14:paraId="0000008B">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НУ «Запорізька політехніка»</w:t>
                  </w:r>
                  <w:r w:rsidDel="00000000" w:rsidR="00000000" w:rsidRPr="00000000">
                    <w:rPr>
                      <w:rFonts w:ascii="Arial" w:cs="Arial" w:eastAsia="Arial" w:hAnsi="Arial"/>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Chair of the Scientific and Methodological Council of NU “Zaporizhzhia Polytechnic”</w:t>
                  </w:r>
                </w:p>
              </w:tc>
              <w:tc>
                <w:tcPr>
                  <w:gridSpan w:val="2"/>
                </w:tcPr>
                <w:p w:rsidR="00000000" w:rsidDel="00000000" w:rsidP="00000000" w:rsidRDefault="00000000" w:rsidRPr="00000000" w14:paraId="0000008C">
                  <w:pPr>
                    <w:pBdr>
                      <w:top w:space="0" w:sz="0" w:val="nil"/>
                      <w:left w:space="0" w:sz="0" w:val="nil"/>
                      <w:bottom w:space="0" w:sz="0" w:val="nil"/>
                      <w:right w:space="0" w:sz="0" w:val="nil"/>
                      <w:between w:space="0" w:sz="0" w:val="nil"/>
                    </w:pBdr>
                    <w:jc w:val="both"/>
                    <w:rPr>
                      <w:rFonts w:ascii="Arial" w:cs="Arial" w:eastAsia="Arial" w:hAnsi="Arial"/>
                      <w:b w:val="1"/>
                      <w:sz w:val="24"/>
                      <w:szCs w:val="24"/>
                    </w:rPr>
                  </w:pPr>
                  <w:r w:rsidDel="00000000" w:rsidR="00000000" w:rsidRPr="00000000">
                    <w:rPr>
                      <w:rFonts w:ascii="Times New Roman" w:cs="Times New Roman" w:eastAsia="Times New Roman" w:hAnsi="Times New Roman"/>
                      <w:sz w:val="24"/>
                      <w:szCs w:val="24"/>
                      <w:rtl w:val="0"/>
                    </w:rPr>
                    <w:t xml:space="preserve">_____________      Руслан КУЛИКОВСЬКИЙ</w:t>
                  </w:r>
                  <w:r w:rsidDel="00000000" w:rsidR="00000000" w:rsidRPr="00000000">
                    <w:rPr>
                      <w:rFonts w:ascii="Times New Roman" w:cs="Times New Roman" w:eastAsia="Times New Roman" w:hAnsi="Times New Roman"/>
                      <w:smallCaps w:val="1"/>
                      <w:sz w:val="24"/>
                      <w:szCs w:val="24"/>
                      <w:rtl w:val="0"/>
                    </w:rPr>
                    <w:t xml:space="preserve"> </w:t>
                  </w:r>
                  <w:r w:rsidDel="00000000" w:rsidR="00000000" w:rsidRPr="00000000">
                    <w:rPr>
                      <w:rFonts w:ascii="Arial" w:cs="Arial" w:eastAsia="Arial" w:hAnsi="Arial"/>
                      <w:b w:val="1"/>
                      <w:sz w:val="24"/>
                      <w:szCs w:val="24"/>
                      <w:rtl w:val="0"/>
                    </w:rPr>
                    <w:t xml:space="preserve">/</w:t>
                  </w:r>
                </w:p>
                <w:p w:rsidR="00000000" w:rsidDel="00000000" w:rsidP="00000000" w:rsidRDefault="00000000" w:rsidRPr="00000000" w14:paraId="0000008D">
                  <w:pPr>
                    <w:pBdr>
                      <w:top w:space="0" w:sz="0" w:val="nil"/>
                      <w:left w:space="0" w:sz="0" w:val="nil"/>
                      <w:bottom w:space="0" w:sz="0" w:val="nil"/>
                      <w:right w:space="0" w:sz="0" w:val="nil"/>
                      <w:between w:space="0" w:sz="0" w:val="nil"/>
                    </w:pBd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sz w:val="24"/>
                      <w:szCs w:val="24"/>
                      <w:rtl w:val="0"/>
                    </w:rPr>
                    <w:t xml:space="preserve">RUSLAN KULYKOVSKIY</w:t>
                  </w:r>
                  <w:r w:rsidDel="00000000" w:rsidR="00000000" w:rsidRPr="00000000">
                    <w:rPr>
                      <w:rtl w:val="0"/>
                    </w:rPr>
                  </w:r>
                </w:p>
              </w:tc>
            </w:tr>
          </w:tbl>
          <w:p w:rsidR="00000000" w:rsidDel="00000000" w:rsidP="00000000" w:rsidRDefault="00000000" w:rsidRPr="00000000" w14:paraId="0000008F">
            <w:pPr>
              <w:pBdr>
                <w:top w:space="0" w:sz="0" w:val="nil"/>
                <w:left w:space="0" w:sz="0" w:val="nil"/>
                <w:bottom w:space="0" w:sz="0" w:val="nil"/>
                <w:right w:space="0" w:sz="0" w:val="nil"/>
                <w:between w:space="0" w:sz="0" w:val="nil"/>
              </w:pBdr>
              <w:rPr>
                <w:rFonts w:ascii="Times New Roman" w:cs="Times New Roman" w:eastAsia="Times New Roman" w:hAnsi="Times New Roman"/>
                <w:b w:val="1"/>
                <w:sz w:val="22"/>
                <w:szCs w:val="22"/>
              </w:rPr>
            </w:pPr>
            <w:r w:rsidDel="00000000" w:rsidR="00000000" w:rsidRPr="00000000">
              <w:rPr>
                <w:rtl w:val="0"/>
              </w:rPr>
            </w:r>
          </w:p>
        </w:tc>
      </w:tr>
    </w:tbl>
    <w:bookmarkStart w:colFirst="0" w:colLast="0" w:name="bookmark=id.30j0zll" w:id="1"/>
    <w:bookmarkEnd w:id="1"/>
    <w:p w:rsidR="00000000" w:rsidDel="00000000" w:rsidP="00000000" w:rsidRDefault="00000000" w:rsidRPr="00000000" w14:paraId="00000090">
      <w:pPr>
        <w:rPr/>
        <w:sectPr>
          <w:headerReference r:id="rId11" w:type="default"/>
          <w:footerReference r:id="rId12" w:type="default"/>
          <w:pgSz w:h="16838" w:w="11906" w:orient="portrait"/>
          <w:pgMar w:bottom="1134" w:top="851" w:left="1418" w:right="851" w:header="720" w:footer="708"/>
          <w:pgNumType w:start="1"/>
          <w:titlePg w:val="1"/>
        </w:sectPr>
      </w:pPr>
      <w:bookmarkStart w:colFirst="0" w:colLast="0" w:name="_heading=h.gjdgxs" w:id="2"/>
      <w:bookmarkEnd w:id="2"/>
      <w:r w:rsidDel="00000000" w:rsidR="00000000" w:rsidRPr="00000000">
        <w:rPr>
          <w:rtl w:val="0"/>
        </w:rPr>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6"/>
        <w:tblW w:w="10059.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19"/>
        <w:gridCol w:w="940"/>
        <w:gridCol w:w="2037"/>
        <w:gridCol w:w="2864"/>
        <w:tblGridChange w:id="0">
          <w:tblGrid>
            <w:gridCol w:w="4219"/>
            <w:gridCol w:w="940"/>
            <w:gridCol w:w="2037"/>
            <w:gridCol w:w="2864"/>
          </w:tblGrid>
        </w:tblGridChange>
      </w:tblGrid>
      <w:tr>
        <w:trPr>
          <w:cantSplit w:val="0"/>
          <w:trHeight w:val="340" w:hRule="atLeast"/>
          <w:tblHeader w:val="0"/>
        </w:trPr>
        <w:tc>
          <w:tcPr>
            <w:gridSpan w:val="4"/>
            <w:shd w:fill="bfbfbf" w:val="clear"/>
          </w:tcPr>
          <w:p w:rsidR="00000000" w:rsidDel="00000000" w:rsidP="00000000" w:rsidRDefault="00000000" w:rsidRPr="00000000" w14:paraId="00000092">
            <w:pPr>
              <w:widowControl w:val="0"/>
              <w:tabs>
                <w:tab w:val="left" w:leader="none" w:pos="0"/>
              </w:tabs>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1.1 Загальна інформація/ General information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Повна назва закладу вищої освіти та навчального підрозділу / Full name of higher education institution and faculty / educational and scientific institute</w:t>
            </w:r>
          </w:p>
        </w:tc>
        <w:tc>
          <w:tcPr>
            <w:gridSpan w:val="2"/>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Національний університет «Запорізька політехніка» /</w:t>
            </w:r>
          </w:p>
          <w:p w:rsidR="00000000" w:rsidDel="00000000" w:rsidP="00000000" w:rsidRDefault="00000000" w:rsidRPr="00000000" w14:paraId="0000009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кафедра «Системний аналіз та обчислювальна математика»</w:t>
            </w:r>
          </w:p>
        </w:tc>
        <w:tc>
          <w:tcP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National University “Zaporizhzhia Polytechnic” /</w:t>
            </w:r>
          </w:p>
          <w:p w:rsidR="00000000" w:rsidDel="00000000" w:rsidP="00000000" w:rsidRDefault="00000000" w:rsidRPr="00000000" w14:paraId="0000009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The Department of System Analysis and Computational Mathematics</w:t>
            </w:r>
          </w:p>
        </w:tc>
      </w:tr>
      <w:tr>
        <w:trPr>
          <w:cantSplit w:val="0"/>
          <w:tblHeader w:val="0"/>
        </w:trPr>
        <w:tc>
          <w:tcPr>
            <w:vAlign w:val="center"/>
          </w:tcPr>
          <w:p w:rsidR="00000000" w:rsidDel="00000000" w:rsidP="00000000" w:rsidRDefault="00000000" w:rsidRPr="00000000" w14:paraId="0000009C">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Офіційна назва освітньо-професійної (освітньо-наукової) програми / Official name of the Educational and Professional (or Educational and Scientific) Program</w:t>
            </w:r>
          </w:p>
        </w:tc>
        <w:tc>
          <w:tcPr>
            <w:gridSpan w:val="2"/>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Інтелектуальні технології та прийняття рішень в складних системах</w:t>
            </w:r>
          </w:p>
        </w:tc>
        <w:tc>
          <w:tcPr>
            <w:vAlign w:val="center"/>
          </w:tcPr>
          <w:p w:rsidR="00000000" w:rsidDel="00000000" w:rsidP="00000000" w:rsidRDefault="00000000" w:rsidRPr="00000000" w14:paraId="0000009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Intelligent Technologies and Decision-Making in Complex Systems</w:t>
            </w:r>
          </w:p>
        </w:tc>
      </w:tr>
      <w:tr>
        <w:trPr>
          <w:cantSplit w:val="0"/>
          <w:tblHeader w:val="0"/>
        </w:trPr>
        <w:tc>
          <w:tcPr>
            <w:vAlign w:val="center"/>
          </w:tcPr>
          <w:p w:rsidR="00000000" w:rsidDel="00000000" w:rsidP="00000000" w:rsidRDefault="00000000" w:rsidRPr="00000000" w14:paraId="000000A0">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Галузь знань / Field of Knowledge</w:t>
            </w:r>
          </w:p>
        </w:tc>
        <w:tc>
          <w:tcPr>
            <w:gridSpan w:val="2"/>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 Інформаційні технології</w:t>
            </w:r>
          </w:p>
        </w:tc>
        <w:tc>
          <w:tcPr>
            <w:vAlign w:val="center"/>
          </w:tcPr>
          <w:p w:rsidR="00000000" w:rsidDel="00000000" w:rsidP="00000000" w:rsidRDefault="00000000" w:rsidRPr="00000000" w14:paraId="000000A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 lnformation Technologies</w:t>
            </w:r>
          </w:p>
        </w:tc>
      </w:tr>
      <w:tr>
        <w:trPr>
          <w:cantSplit w:val="0"/>
          <w:tblHeader w:val="0"/>
        </w:trPr>
        <w:tc>
          <w:tcPr>
            <w:vAlign w:val="center"/>
          </w:tcPr>
          <w:p w:rsidR="00000000" w:rsidDel="00000000" w:rsidP="00000000" w:rsidRDefault="00000000" w:rsidRPr="00000000" w14:paraId="000000A4">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Спеціальність / Specialty</w:t>
            </w:r>
          </w:p>
        </w:tc>
        <w:tc>
          <w:tcPr>
            <w:gridSpan w:val="2"/>
            <w:vAlign w:val="center"/>
          </w:tcPr>
          <w:p w:rsidR="00000000" w:rsidDel="00000000" w:rsidP="00000000" w:rsidRDefault="00000000" w:rsidRPr="00000000" w14:paraId="000000A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F4 Системний аналіз та науки про дані</w:t>
            </w:r>
          </w:p>
        </w:tc>
        <w:tc>
          <w:tcPr>
            <w:vAlign w:val="center"/>
          </w:tcPr>
          <w:p w:rsidR="00000000" w:rsidDel="00000000" w:rsidP="00000000" w:rsidRDefault="00000000" w:rsidRPr="00000000" w14:paraId="000000A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F4 System analysis and data science</w:t>
            </w:r>
          </w:p>
        </w:tc>
      </w:tr>
      <w:tr>
        <w:trPr>
          <w:cantSplit w:val="0"/>
          <w:tblHeader w:val="0"/>
        </w:trPr>
        <w:tc>
          <w:tcPr>
            <w:vAlign w:val="center"/>
          </w:tcPr>
          <w:p w:rsidR="00000000" w:rsidDel="00000000" w:rsidP="00000000" w:rsidRDefault="00000000" w:rsidRPr="00000000" w14:paraId="000000A8">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Рівень вищої освіти / Level of Higher Education</w:t>
            </w:r>
          </w:p>
        </w:tc>
        <w:tc>
          <w:tcPr>
            <w:gridSpan w:val="2"/>
            <w:vAlign w:val="center"/>
          </w:tcPr>
          <w:p w:rsidR="00000000" w:rsidDel="00000000" w:rsidP="00000000" w:rsidRDefault="00000000" w:rsidRPr="00000000" w14:paraId="000000A9">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НРК України – 7 рівень,</w:t>
            </w:r>
          </w:p>
          <w:p w:rsidR="00000000" w:rsidDel="00000000" w:rsidP="00000000" w:rsidRDefault="00000000" w:rsidRPr="00000000" w14:paraId="000000A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QF-EHEA – другий цикл;</w:t>
            </w:r>
          </w:p>
          <w:p w:rsidR="00000000" w:rsidDel="00000000" w:rsidP="00000000" w:rsidRDefault="00000000" w:rsidRPr="00000000" w14:paraId="000000A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EQF-LLL - 7 рівень</w:t>
            </w:r>
          </w:p>
        </w:tc>
        <w:tc>
          <w:tcPr>
            <w:vAlign w:val="center"/>
          </w:tcPr>
          <w:p w:rsidR="00000000" w:rsidDel="00000000" w:rsidP="00000000" w:rsidRDefault="00000000" w:rsidRPr="00000000" w14:paraId="000000A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NQF of Ukraine – 7 level,</w:t>
            </w:r>
          </w:p>
          <w:p w:rsidR="00000000" w:rsidDel="00000000" w:rsidP="00000000" w:rsidRDefault="00000000" w:rsidRPr="00000000" w14:paraId="000000AE">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QF-EHEA – 2 cycle</w:t>
            </w:r>
          </w:p>
          <w:p w:rsidR="00000000" w:rsidDel="00000000" w:rsidP="00000000" w:rsidRDefault="00000000" w:rsidRPr="00000000" w14:paraId="000000A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ЕQF-LLL – 7 level</w:t>
            </w:r>
          </w:p>
        </w:tc>
      </w:tr>
      <w:tr>
        <w:trPr>
          <w:cantSplit w:val="0"/>
          <w:tblHeader w:val="0"/>
        </w:trPr>
        <w:tc>
          <w:tcPr>
            <w:vAlign w:val="center"/>
          </w:tcPr>
          <w:p w:rsidR="00000000" w:rsidDel="00000000" w:rsidP="00000000" w:rsidRDefault="00000000" w:rsidRPr="00000000" w14:paraId="000000B0">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Ступінь вищої освіти / Degree of Higher Education</w:t>
            </w:r>
          </w:p>
        </w:tc>
        <w:tc>
          <w:tcPr>
            <w:gridSpan w:val="2"/>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другий</w:t>
            </w:r>
          </w:p>
        </w:tc>
        <w:tc>
          <w:tcPr>
            <w:vAlign w:val="center"/>
          </w:tcPr>
          <w:p w:rsidR="00000000" w:rsidDel="00000000" w:rsidP="00000000" w:rsidRDefault="00000000" w:rsidRPr="00000000" w14:paraId="000000B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second</w:t>
            </w:r>
          </w:p>
        </w:tc>
      </w:tr>
      <w:tr>
        <w:trPr>
          <w:cantSplit w:val="0"/>
          <w:tblHeader w:val="0"/>
        </w:trPr>
        <w:tc>
          <w:tcP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Освітня кваліфікація / Educational Qualification</w:t>
            </w:r>
          </w:p>
        </w:tc>
        <w:tc>
          <w:tcPr>
            <w:gridSpan w:val="2"/>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магістр з системного аналізу та науки про дані</w:t>
            </w:r>
          </w:p>
        </w:tc>
        <w:tc>
          <w:tcPr>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Master’s in Systems Analysis and Data Science</w:t>
            </w:r>
          </w:p>
        </w:tc>
      </w:tr>
      <w:tr>
        <w:trPr>
          <w:cantSplit w:val="0"/>
          <w:tblHeader w:val="0"/>
        </w:trPr>
        <w:tc>
          <w:tcP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Тип освітньої програми / Type of the Educational Programme</w:t>
            </w:r>
          </w:p>
        </w:tc>
        <w:tc>
          <w:tcPr>
            <w:gridSpan w:val="2"/>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освітньо-професійна</w:t>
            </w:r>
          </w:p>
        </w:tc>
        <w:tc>
          <w:tcPr>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educational and professional</w:t>
            </w:r>
          </w:p>
        </w:tc>
      </w:tr>
      <w:tr>
        <w:trPr>
          <w:cantSplit w:val="0"/>
          <w:tblHeader w:val="0"/>
        </w:trPr>
        <w:tc>
          <w:tcP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Тип диплому / Type of diploma</w:t>
            </w:r>
          </w:p>
        </w:tc>
        <w:tc>
          <w:tcPr>
            <w:gridSpan w:val="2"/>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диплом магістра, одиничний</w:t>
            </w:r>
          </w:p>
        </w:tc>
        <w:tc>
          <w:tcP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Master’s diploma, Single diploma</w:t>
            </w:r>
          </w:p>
        </w:tc>
      </w:tr>
      <w:tr>
        <w:trPr>
          <w:cantSplit w:val="0"/>
          <w:tblHeader w:val="0"/>
        </w:trPr>
        <w:tc>
          <w:tcP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Кількість кредитів ЄКТС, необхідних для виконання цієї програми / Number of ECTS credits required for the completion of this programme</w:t>
            </w:r>
          </w:p>
        </w:tc>
        <w:tc>
          <w:tcPr>
            <w:gridSpan w:val="2"/>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90 кредитів ЄКТС,</w:t>
            </w:r>
          </w:p>
        </w:tc>
        <w:tc>
          <w:tcP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90 credits ECTS</w:t>
            </w:r>
          </w:p>
        </w:tc>
      </w:tr>
      <w:tr>
        <w:trPr>
          <w:cantSplit w:val="0"/>
          <w:tblHeader w:val="0"/>
        </w:trPr>
        <w:tc>
          <w:tcPr>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Форми здобуття освіти за цією освітньою програмою та розрахункові строки виконання освітньої програми за кожною з них  / Forms of study under this educational programme and the expected duration of its completion for each of them</w:t>
            </w:r>
          </w:p>
        </w:tc>
        <w:tc>
          <w:tcPr>
            <w:gridSpan w:val="2"/>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Очна, розрахунковий строк виконання освітньої програми  - 1 рік 5 місяців.Заочна, розрахунковий строк виконання освітньої програми  - 1 рік 5 місяців</w:t>
            </w:r>
          </w:p>
        </w:tc>
        <w:tc>
          <w:tcPr>
            <w:vAlign w:val="center"/>
          </w:tcPr>
          <w:p w:rsidR="00000000" w:rsidDel="00000000" w:rsidP="00000000" w:rsidRDefault="00000000" w:rsidRPr="00000000" w14:paraId="000000C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full-time, standard time to completion – 1 year and 5 month; part-time, standard time to completion – 1 year and 5 month</w:t>
            </w:r>
          </w:p>
        </w:tc>
      </w:tr>
      <w:tr>
        <w:trPr>
          <w:cantSplit w:val="0"/>
          <w:tblHeader w:val="0"/>
        </w:trPr>
        <w:tc>
          <w:tcPr>
            <w:vAlign w:val="center"/>
          </w:tcPr>
          <w:p w:rsidR="00000000" w:rsidDel="00000000" w:rsidP="00000000" w:rsidRDefault="00000000" w:rsidRPr="00000000" w14:paraId="000000C8">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Вимоги до осіб, які можуть розпочати навчання за програмою / Requirements for individuals eligible to commence the program</w:t>
            </w:r>
          </w:p>
        </w:tc>
        <w:tc>
          <w:tcPr>
            <w:gridSpan w:val="2"/>
            <w:vAlign w:val="center"/>
          </w:tcPr>
          <w:p w:rsidR="00000000" w:rsidDel="00000000" w:rsidP="00000000" w:rsidRDefault="00000000" w:rsidRPr="00000000" w14:paraId="000000C9">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перший (бакалаврський) рівень вищої освіти</w:t>
            </w:r>
          </w:p>
        </w:tc>
        <w:tc>
          <w:tcPr>
            <w:vAlign w:val="center"/>
          </w:tcPr>
          <w:p w:rsidR="00000000" w:rsidDel="00000000" w:rsidP="00000000" w:rsidRDefault="00000000" w:rsidRPr="00000000" w14:paraId="000000C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Bachelor’s degree</w:t>
            </w:r>
          </w:p>
        </w:tc>
      </w:tr>
      <w:tr>
        <w:trPr>
          <w:cantSplit w:val="0"/>
          <w:tblHeader w:val="0"/>
        </w:trPr>
        <w:tc>
          <w:tcPr>
            <w:vAlign w:val="center"/>
          </w:tcPr>
          <w:p w:rsidR="00000000" w:rsidDel="00000000" w:rsidP="00000000" w:rsidRDefault="00000000" w:rsidRPr="00000000" w14:paraId="000000CC">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Інформація про акредитацію / Accreditation information of the educational programme</w:t>
            </w:r>
          </w:p>
        </w:tc>
        <w:tc>
          <w:tcPr>
            <w:gridSpan w:val="2"/>
            <w:vAlign w:val="center"/>
          </w:tcPr>
          <w:p w:rsidR="00000000" w:rsidDel="00000000" w:rsidP="00000000" w:rsidRDefault="00000000" w:rsidRPr="00000000" w14:paraId="000000C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сертифікат про акредитацію освітньої програми</w:t>
            </w:r>
          </w:p>
          <w:p w:rsidR="00000000" w:rsidDel="00000000" w:rsidP="00000000" w:rsidRDefault="00000000" w:rsidRPr="00000000" w14:paraId="000000CE">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873, дійсний до 01.07.2026</w:t>
            </w:r>
          </w:p>
        </w:tc>
        <w:tc>
          <w:tcPr>
            <w:vAlign w:val="center"/>
          </w:tcPr>
          <w:p w:rsidR="00000000" w:rsidDel="00000000" w:rsidP="00000000" w:rsidRDefault="00000000" w:rsidRPr="00000000" w14:paraId="000000D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Certificate of accreditation of the educational program No. 873, valid until July 1, 2026.</w:t>
            </w:r>
          </w:p>
        </w:tc>
      </w:tr>
      <w:tr>
        <w:trPr>
          <w:cantSplit w:val="0"/>
          <w:tblHeader w:val="0"/>
        </w:trPr>
        <w:tc>
          <w:tcPr>
            <w:vAlign w:val="center"/>
          </w:tcPr>
          <w:p w:rsidR="00000000" w:rsidDel="00000000" w:rsidP="00000000" w:rsidRDefault="00000000" w:rsidRPr="00000000" w14:paraId="000000D1">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Мова(и) викладання / Language(s) of instruction</w:t>
            </w:r>
          </w:p>
        </w:tc>
        <w:tc>
          <w:tcPr>
            <w:gridSpan w:val="2"/>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українська</w:t>
            </w:r>
          </w:p>
        </w:tc>
        <w:tc>
          <w:tcPr>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Ukrainian</w:t>
            </w:r>
          </w:p>
        </w:tc>
      </w:tr>
      <w:tr>
        <w:trPr>
          <w:cantSplit w:val="0"/>
          <w:tblHeader w:val="0"/>
        </w:trPr>
        <w:tc>
          <w:tcPr>
            <w:vAlign w:val="center"/>
          </w:tcPr>
          <w:p w:rsidR="00000000" w:rsidDel="00000000" w:rsidP="00000000" w:rsidRDefault="00000000" w:rsidRPr="00000000" w14:paraId="000000D5">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Інтернет-адреса розміщення освітньої програми / URL of the educational programme</w:t>
            </w:r>
          </w:p>
        </w:tc>
        <w:tc>
          <w:tcPr>
            <w:gridSpan w:val="2"/>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jc w:val="both"/>
              <w:rPr>
                <w:rFonts w:ascii="Georgia" w:cs="Georgia" w:eastAsia="Georgia" w:hAnsi="Georgia"/>
                <w:sz w:val="23"/>
                <w:szCs w:val="23"/>
              </w:rPr>
            </w:pPr>
            <w:hyperlink r:id="rId13">
              <w:r w:rsidDel="00000000" w:rsidR="00000000" w:rsidRPr="00000000">
                <w:rPr>
                  <w:rFonts w:ascii="Georgia" w:cs="Georgia" w:eastAsia="Georgia" w:hAnsi="Georgia"/>
                  <w:sz w:val="23"/>
                  <w:szCs w:val="23"/>
                  <w:rtl w:val="0"/>
                </w:rPr>
                <w:t xml:space="preserve">https://catalogop.zp.edu.ua/E</w:t>
              </w:r>
            </w:hyperlink>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Georgia" w:cs="Georgia" w:eastAsia="Georgia" w:hAnsi="Georgia"/>
                <w:sz w:val="23"/>
                <w:szCs w:val="23"/>
                <w:rtl w:val="0"/>
              </w:rPr>
              <w:t xml:space="preserve">Prog.php?Id=228&amp;Mode=1</w:t>
            </w:r>
            <w:r w:rsidDel="00000000" w:rsidR="00000000" w:rsidRPr="00000000">
              <w:rPr>
                <w:rtl w:val="0"/>
              </w:rPr>
            </w:r>
          </w:p>
        </w:tc>
        <w:tc>
          <w:tcPr>
            <w:vAlign w:val="center"/>
          </w:tcPr>
          <w:p w:rsidR="00000000" w:rsidDel="00000000" w:rsidP="00000000" w:rsidRDefault="00000000" w:rsidRPr="00000000" w14:paraId="000000D9">
            <w:pPr>
              <w:pBdr>
                <w:top w:space="0" w:sz="0" w:val="nil"/>
                <w:left w:space="0" w:sz="0" w:val="nil"/>
                <w:bottom w:space="0" w:sz="0" w:val="nil"/>
                <w:right w:space="0" w:sz="0" w:val="nil"/>
                <w:between w:space="0" w:sz="0" w:val="nil"/>
              </w:pBdr>
              <w:jc w:val="both"/>
              <w:rPr>
                <w:rFonts w:ascii="Georgia" w:cs="Georgia" w:eastAsia="Georgia" w:hAnsi="Georgia"/>
                <w:sz w:val="23"/>
                <w:szCs w:val="23"/>
              </w:rPr>
            </w:pPr>
            <w:hyperlink r:id="rId14">
              <w:r w:rsidDel="00000000" w:rsidR="00000000" w:rsidRPr="00000000">
                <w:rPr>
                  <w:rFonts w:ascii="Georgia" w:cs="Georgia" w:eastAsia="Georgia" w:hAnsi="Georgia"/>
                  <w:sz w:val="23"/>
                  <w:szCs w:val="23"/>
                  <w:rtl w:val="0"/>
                </w:rPr>
                <w:t xml:space="preserve">https://catalogop.zp.edu.ua/E</w:t>
              </w:r>
            </w:hyperlink>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3"/>
                <w:szCs w:val="23"/>
              </w:rPr>
            </w:pPr>
            <w:r w:rsidDel="00000000" w:rsidR="00000000" w:rsidRPr="00000000">
              <w:rPr>
                <w:rFonts w:ascii="Georgia" w:cs="Georgia" w:eastAsia="Georgia" w:hAnsi="Georgia"/>
                <w:sz w:val="23"/>
                <w:szCs w:val="23"/>
                <w:rtl w:val="0"/>
              </w:rPr>
              <w:t xml:space="preserve">Prog.php?Id=228&amp;Mode=1</w:t>
            </w:r>
            <w:r w:rsidDel="00000000" w:rsidR="00000000" w:rsidRPr="00000000">
              <w:rPr>
                <w:rtl w:val="0"/>
              </w:rPr>
            </w:r>
          </w:p>
        </w:tc>
      </w:tr>
      <w:tr>
        <w:trPr>
          <w:cantSplit w:val="0"/>
          <w:tblHeader w:val="0"/>
        </w:trPr>
        <w:tc>
          <w:tcPr>
            <w:gridSpan w:val="4"/>
            <w:shd w:fill="bfbfbf" w:val="clear"/>
            <w:vAlign w:val="center"/>
          </w:tcPr>
          <w:p w:rsidR="00000000" w:rsidDel="00000000" w:rsidP="00000000" w:rsidRDefault="00000000" w:rsidRPr="00000000" w14:paraId="000000DB">
            <w:pPr>
              <w:widowControl w:val="0"/>
              <w:tabs>
                <w:tab w:val="left" w:leader="none" w:pos="0"/>
              </w:tabs>
              <w:spacing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 Цілі освітньої програми / Objectives of the educational programme</w:t>
            </w:r>
          </w:p>
        </w:tc>
      </w:tr>
      <w:tr>
        <w:trPr>
          <w:cantSplit w:val="0"/>
          <w:tblHeader w:val="0"/>
        </w:trPr>
        <w:tc>
          <w:tcPr>
            <w:gridSpan w:val="2"/>
          </w:tcPr>
          <w:p w:rsidR="00000000" w:rsidDel="00000000" w:rsidP="00000000" w:rsidRDefault="00000000" w:rsidRPr="00000000" w14:paraId="000000DF">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Зробити достойний внесок у розвиток Української держави й суспільства, Південно-Східного регіону України завдяки реалізації таких цілей:</w:t>
            </w:r>
          </w:p>
          <w:p w:rsidR="00000000" w:rsidDel="00000000" w:rsidP="00000000" w:rsidRDefault="00000000" w:rsidRPr="00000000" w14:paraId="000000E0">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Сформувати високоосвічених й національно свідомих фахівців в галузі системного аналізу та науки про дані, здатних сприяти розвитку Української держави, суспільства та Запорізького регіону, активно долучаючись до розбудови цифрового середовища з урахуванням глобальних цілей сталого розвитку та готовністю діяти відповідно до цих цілей;</w:t>
            </w:r>
          </w:p>
          <w:p w:rsidR="00000000" w:rsidDel="00000000" w:rsidP="00000000" w:rsidRDefault="00000000" w:rsidRPr="00000000" w14:paraId="000000E1">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Інтегрувати результати наукових і прикладних досліджень, а також інноваційної діяльності в освітню програму з метою постійного підвищення якості освіти відповідно до стандартів і рекомендацій щодо забезпечення якості у Європейському просторі вищої освіти, із дотриманням принципів студентоцентрованого навчання та академічної доброчесності;</w:t>
            </w:r>
          </w:p>
          <w:p w:rsidR="00000000" w:rsidDel="00000000" w:rsidP="00000000" w:rsidRDefault="00000000" w:rsidRPr="00000000" w14:paraId="000000E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3)Забезпечити умови для всебічного розвитку особистості шляхом активізації зовнішньої академічної мобільності здобувачів вищої освіти, науково-педагогічних, наукових та педагогічних працівників НУ «Запорізька політехніка»; підвищення мотивації та залученості здобувачів до освітнього процесу; впровадження персоналізованого підходу до навчання на основі широкого використання дистанційних освітніх технологій і сервісів, формування індивідуальних освітніх траєкторій із урахуванням можливостей інформальної та неформальної освіти, а також залучення іноземних викладачів;</w:t>
            </w:r>
          </w:p>
          <w:p w:rsidR="00000000" w:rsidDel="00000000" w:rsidP="00000000" w:rsidRDefault="00000000" w:rsidRPr="00000000" w14:paraId="000000E3">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4)Здійснювати прикладні дослідження із залученням здобувачів вищої освіти, надавати експертизу та консультації для інтелектуальної підтримки органів державної влади, місцевого самоврядування, підприємств, установ і організацій з метою вирішення актуальних для України та Запорізького регіону комплексних наукових і прикладних проблем, сприяючи забезпеченню сталого розвитку держави та регіону</w:t>
            </w:r>
          </w:p>
        </w:tc>
        <w:tc>
          <w:tcPr>
            <w:gridSpan w:val="2"/>
          </w:tcPr>
          <w:p w:rsidR="00000000" w:rsidDel="00000000" w:rsidP="00000000" w:rsidRDefault="00000000" w:rsidRPr="00000000" w14:paraId="000000E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make a meaningful contribution to the development of the Ukrainian state and society, as well as the south-eastern region of Ukraine, by pursuing the following goals:</w:t>
            </w:r>
          </w:p>
          <w:p w:rsidR="00000000" w:rsidDel="00000000" w:rsidP="00000000" w:rsidRDefault="00000000" w:rsidRPr="00000000" w14:paraId="000000E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to cultivate highly educated, civically minded specialists in system analysis and data science who are capable of advancing the Ukrainian state, society, and the Zaporizhzhia region by actively building a digital environment aligned with global sustainable development goals and ready to act in accordance with those goals;</w:t>
            </w:r>
          </w:p>
          <w:p w:rsidR="00000000" w:rsidDel="00000000" w:rsidP="00000000" w:rsidRDefault="00000000" w:rsidRPr="00000000" w14:paraId="000000E7">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to integrate the results of scientific and applied research, as well as innovation activities, into the educational program in order to continuously improve the quality of education in line with the standards and guidelines for quality assurance in the European Higher Education Area, while adhering to the principles of student-centred learning and academic integrity;</w:t>
            </w:r>
          </w:p>
          <w:p w:rsidR="00000000" w:rsidDel="00000000" w:rsidP="00000000" w:rsidRDefault="00000000" w:rsidRPr="00000000" w14:paraId="000000E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to ensure conditions for the comprehensive development of the individual by increasing external academic mobility for students and academic, research, and teaching staff of NU “Zaporizhzhia Polytechnic”; by raising student motivation and engagement in the educational process; by implementing a personalized learning approach based on extensive use of distance-learning technologies and services; by designing individual educational trajectories that take into account opportunities for informal and non-formal education; and by engaging foreign instructors;</w:t>
            </w:r>
          </w:p>
          <w:p w:rsidR="00000000" w:rsidDel="00000000" w:rsidP="00000000" w:rsidRDefault="00000000" w:rsidRPr="00000000" w14:paraId="000000E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to conduct applied research with the involvement of students; to provide expert assessments and consulting that offer intellectual support to public authorities, local governments, enterprises, institutions, and organizations; and to address complex scientific and applied problems relevant to Ukraine and the Zaporizhzhia region, thereby contributing to the sustainable development of the state and the region.</w:t>
            </w:r>
          </w:p>
        </w:tc>
      </w:tr>
    </w:tbl>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tbl>
      <w:tblPr>
        <w:tblStyle w:val="Table7"/>
        <w:tblW w:w="100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16"/>
        <w:gridCol w:w="4844"/>
        <w:tblGridChange w:id="0">
          <w:tblGrid>
            <w:gridCol w:w="5216"/>
            <w:gridCol w:w="4844"/>
          </w:tblGrid>
        </w:tblGridChange>
      </w:tblGrid>
      <w:tr>
        <w:trPr>
          <w:cantSplit w:val="0"/>
          <w:trHeight w:val="624" w:hRule="atLeast"/>
          <w:tblHeader w:val="0"/>
        </w:trPr>
        <w:tc>
          <w:tcPr>
            <w:gridSpan w:val="2"/>
            <w:shd w:fill="bfbfbf" w:val="clear"/>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Опис предметної області / Description of the field of study</w:t>
            </w:r>
          </w:p>
        </w:tc>
      </w:tr>
      <w:tr>
        <w:trPr>
          <w:cantSplit w:val="0"/>
          <w:tblHeader w:val="0"/>
        </w:trPr>
        <w:tc>
          <w:tcPr>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Об’єкт діяльності:</w:t>
            </w:r>
            <w:r w:rsidDel="00000000" w:rsidR="00000000" w:rsidRPr="00000000">
              <w:rPr>
                <w:rFonts w:ascii="Times New Roman" w:cs="Times New Roman" w:eastAsia="Times New Roman" w:hAnsi="Times New Roman"/>
                <w:sz w:val="24"/>
                <w:szCs w:val="24"/>
                <w:rtl w:val="0"/>
              </w:rPr>
              <w:t xml:space="preserve"> математичні методи та інформаційні технології аналізу, моделювання, прогнозування, проєктування та прийняття рішень стосовно складних систем різної природи.</w:t>
            </w:r>
          </w:p>
          <w:p w:rsidR="00000000" w:rsidDel="00000000" w:rsidP="00000000" w:rsidRDefault="00000000" w:rsidRPr="00000000" w14:paraId="000000F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Теоретичний зміст предметної області: </w:t>
            </w:r>
            <w:r w:rsidDel="00000000" w:rsidR="00000000" w:rsidRPr="00000000">
              <w:rPr>
                <w:rFonts w:ascii="Times New Roman" w:cs="Times New Roman" w:eastAsia="Times New Roman" w:hAnsi="Times New Roman"/>
                <w:sz w:val="24"/>
                <w:szCs w:val="24"/>
                <w:rtl w:val="0"/>
              </w:rPr>
              <w:t xml:space="preserve">теорія керування та прийняття рішень, математичне і комп’ютерне моделювання систем та процесів, управління ІТ проєктами та ІТ продуктами, аналіз даних, дослідження операцій, оптимізація систем.</w:t>
            </w:r>
          </w:p>
          <w:p w:rsidR="00000000" w:rsidDel="00000000" w:rsidP="00000000" w:rsidRDefault="00000000" w:rsidRPr="00000000" w14:paraId="000000F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Методи, методики та технології:</w:t>
            </w:r>
            <w:r w:rsidDel="00000000" w:rsidR="00000000" w:rsidRPr="00000000">
              <w:rPr>
                <w:rFonts w:ascii="Times New Roman" w:cs="Times New Roman" w:eastAsia="Times New Roman" w:hAnsi="Times New Roman"/>
                <w:sz w:val="24"/>
                <w:szCs w:val="24"/>
                <w:rtl w:val="0"/>
              </w:rPr>
              <w:t xml:space="preserve"> методи математичного та комп’ютерного моделювання, інтелектуального аналізу даних, штучного інтелекту, бізнес-аналітики, оптимізації та дослідження операцій, прогнозування, оцінювання ризиків, теорії керування та прийняття рішень, теорії ігор та конфліктів, експертного оцінювання, сталого розвитку.</w:t>
            </w:r>
          </w:p>
          <w:p w:rsidR="00000000" w:rsidDel="00000000" w:rsidP="00000000" w:rsidRDefault="00000000" w:rsidRPr="00000000" w14:paraId="000000F9">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Інструменти та обладнання:</w:t>
            </w:r>
            <w:r w:rsidDel="00000000" w:rsidR="00000000" w:rsidRPr="00000000">
              <w:rPr>
                <w:rFonts w:ascii="Times New Roman" w:cs="Times New Roman" w:eastAsia="Times New Roman" w:hAnsi="Times New Roman"/>
                <w:sz w:val="24"/>
                <w:szCs w:val="24"/>
                <w:rtl w:val="0"/>
              </w:rPr>
              <w:t xml:space="preserve"> спеціалізоване програмне забезпечення.</w:t>
            </w:r>
          </w:p>
        </w:tc>
        <w:tc>
          <w:tcPr/>
          <w:p w:rsidR="00000000" w:rsidDel="00000000" w:rsidP="00000000" w:rsidRDefault="00000000" w:rsidRPr="00000000" w14:paraId="000000F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Object of study:</w:t>
            </w:r>
            <w:r w:rsidDel="00000000" w:rsidR="00000000" w:rsidRPr="00000000">
              <w:rPr>
                <w:rFonts w:ascii="Times New Roman" w:cs="Times New Roman" w:eastAsia="Times New Roman" w:hAnsi="Times New Roman"/>
                <w:sz w:val="24"/>
                <w:szCs w:val="24"/>
                <w:rtl w:val="0"/>
              </w:rPr>
              <w:t xml:space="preserve"> mathematical methods and information technologies for the analysis, modeling, forecasting, design, and decision-making regarding complex systems of various natures.</w:t>
            </w:r>
          </w:p>
          <w:p w:rsidR="00000000" w:rsidDel="00000000" w:rsidP="00000000" w:rsidRDefault="00000000" w:rsidRPr="00000000" w14:paraId="000000FC">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Theoretical content of the subject area:</w:t>
            </w:r>
            <w:r w:rsidDel="00000000" w:rsidR="00000000" w:rsidRPr="00000000">
              <w:rPr>
                <w:rFonts w:ascii="Times New Roman" w:cs="Times New Roman" w:eastAsia="Times New Roman" w:hAnsi="Times New Roman"/>
                <w:sz w:val="24"/>
                <w:szCs w:val="24"/>
                <w:rtl w:val="0"/>
              </w:rPr>
              <w:t xml:space="preserve"> control and decision-making theory; mathematical and computer modeling of systems and processes; IT project and product management; data analysis; operations research; systems optimization.</w:t>
            </w:r>
          </w:p>
          <w:p w:rsidR="00000000" w:rsidDel="00000000" w:rsidP="00000000" w:rsidRDefault="00000000" w:rsidRPr="00000000" w14:paraId="000000FE">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Methods, methodology, and technologies:</w:t>
            </w:r>
            <w:r w:rsidDel="00000000" w:rsidR="00000000" w:rsidRPr="00000000">
              <w:rPr>
                <w:rFonts w:ascii="Times New Roman" w:cs="Times New Roman" w:eastAsia="Times New Roman" w:hAnsi="Times New Roman"/>
                <w:sz w:val="24"/>
                <w:szCs w:val="24"/>
                <w:rtl w:val="0"/>
              </w:rPr>
              <w:t xml:space="preserve"> methods of mathematical and computer modeling; data mining; artificial intelligence; business analytics; optimization and operations research; forecasting; risk assessment; control and decision-making theory; game and conflict theory; expert evaluation; sustainable development.</w:t>
            </w:r>
          </w:p>
          <w:p w:rsidR="00000000" w:rsidDel="00000000" w:rsidP="00000000" w:rsidRDefault="00000000" w:rsidRPr="00000000" w14:paraId="0000010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Tools and equipment:</w:t>
            </w:r>
            <w:r w:rsidDel="00000000" w:rsidR="00000000" w:rsidRPr="00000000">
              <w:rPr>
                <w:rFonts w:ascii="Times New Roman" w:cs="Times New Roman" w:eastAsia="Times New Roman" w:hAnsi="Times New Roman"/>
                <w:sz w:val="24"/>
                <w:szCs w:val="24"/>
                <w:rtl w:val="0"/>
              </w:rPr>
              <w:t xml:space="preserve"> specialized software.</w:t>
            </w:r>
          </w:p>
        </w:tc>
      </w:tr>
      <w:tr>
        <w:trPr>
          <w:cantSplit w:val="0"/>
          <w:trHeight w:val="609" w:hRule="atLeast"/>
          <w:tblHeader w:val="0"/>
        </w:trPr>
        <w:tc>
          <w:tcPr>
            <w:gridSpan w:val="2"/>
            <w:shd w:fill="bfbfbf" w:val="cle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Основний фокус освітньої програми / Main Focus of the Educational Programme</w:t>
            </w:r>
          </w:p>
        </w:tc>
      </w:tr>
      <w:tr>
        <w:trPr>
          <w:cantSplit w:val="0"/>
          <w:tblHeader w:val="0"/>
        </w:trPr>
        <w:tc>
          <w:tcP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shd w:fill="b6d7a8" w:val="clear"/>
              </w:rPr>
            </w:pPr>
            <w:r w:rsidDel="00000000" w:rsidR="00000000" w:rsidRPr="00000000">
              <w:rPr>
                <w:rFonts w:ascii="Times New Roman" w:cs="Times New Roman" w:eastAsia="Times New Roman" w:hAnsi="Times New Roman"/>
                <w:sz w:val="24"/>
                <w:szCs w:val="24"/>
                <w:rtl w:val="0"/>
              </w:rPr>
              <w:t xml:space="preserve">Освітньо-професійна програма спрямована на підготовку фахівців-аналітиків, здатних ефективно застосовувати системний підхід, методи аналізу даних та інтелектуальні технології для прийняття обґрунтованих рішень у складних і нестандартних умовах. Особливий акцент зроблено на розв’язанні неформалізованих і слабоструктурованих управлінських задач в умовах високої невизначеності. Програма охоплює розвиток компетентностей у галузі моделювання, прогнозування, оцінювання ризиків та оптимізації рішень. Значна увага приділяється застосуванню сучасних методів штучного інтелекту, машинного навчання та комп’ютерного моделювання. Підготовка здійснюється на основі міждисциплінарного підходу, що забезпечує цілісне бачення системних досліджень і розв'язання комплексних проблем.</w:t>
            </w:r>
            <w:r w:rsidDel="00000000" w:rsidR="00000000" w:rsidRPr="00000000">
              <w:rPr>
                <w:rtl w:val="0"/>
              </w:rPr>
            </w:r>
          </w:p>
        </w:tc>
        <w:tc>
          <w:tcPr/>
          <w:p w:rsidR="00000000" w:rsidDel="00000000" w:rsidP="00000000" w:rsidRDefault="00000000" w:rsidRPr="00000000" w14:paraId="0000010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educational and professional program is designed to train analyst-level specialists capable of effectively applying the systems approach, data analysis methods, and intelligent technologies to make well-grounded decisions under complex and non-standard conditions. It places particular emphasis on addressing ill-defined and weakly structured managerial problems in environments of high uncertainty. The program develops competencies in modeling, forecasting, risk assessment, and decision optimization. Considerable attention is devoted to the application of contemporary methods of artificial intelligence, machine learning, and computer modeling. Instruction is built on an interdisciplinary approach that ensures a holistic perspective on systems research and the solution of complex, multifaceted problems.</w:t>
            </w:r>
          </w:p>
        </w:tc>
      </w:tr>
    </w:tbl>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tbl>
      <w:tblPr>
        <w:tblStyle w:val="Table8"/>
        <w:tblW w:w="100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16"/>
        <w:gridCol w:w="4844"/>
        <w:tblGridChange w:id="0">
          <w:tblGrid>
            <w:gridCol w:w="5216"/>
            <w:gridCol w:w="4844"/>
          </w:tblGrid>
        </w:tblGridChange>
      </w:tblGrid>
      <w:tr>
        <w:trPr>
          <w:cantSplit w:val="0"/>
          <w:tblHeader w:val="0"/>
        </w:trPr>
        <w:tc>
          <w:tcPr>
            <w:gridSpan w:val="2"/>
            <w:shd w:fill="bfbfbf" w:val="clear"/>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1.4 Можливості працевлаштування за здобутою освітою / employment opportunities in accordance with the acquired qualification</w:t>
            </w:r>
          </w:p>
        </w:tc>
      </w:tr>
      <w:tr>
        <w:trPr>
          <w:cantSplit w:val="0"/>
          <w:tblHeader w:val="0"/>
        </w:trPr>
        <w:tc>
          <w:tcPr/>
          <w:p w:rsidR="00000000" w:rsidDel="00000000" w:rsidP="00000000" w:rsidRDefault="00000000" w:rsidRPr="00000000" w14:paraId="00000110">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Випускники можуть працювати в наукових, освітніх, аналітичних, ІТ та інших установах і підрозділах на посадах, що вимагають застосування методів системного аналізу </w:t>
            </w:r>
          </w:p>
          <w:p w:rsidR="00000000" w:rsidDel="00000000" w:rsidP="00000000" w:rsidRDefault="00000000" w:rsidRPr="00000000" w14:paraId="00000111">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Випускники можуть працювати на первинних посадах, за професіями, які визначені Національним класифікатором України:</w:t>
            </w:r>
          </w:p>
          <w:p w:rsidR="00000000" w:rsidDel="00000000" w:rsidP="00000000" w:rsidRDefault="00000000" w:rsidRPr="00000000" w14:paraId="0000011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Класифікатор професій (ДК 003:2010):</w:t>
            </w:r>
          </w:p>
          <w:p w:rsidR="00000000" w:rsidDel="00000000" w:rsidP="00000000" w:rsidRDefault="00000000" w:rsidRPr="00000000" w14:paraId="00000113">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2131.2 Аналітик комп’ютерних систем; </w:t>
            </w:r>
          </w:p>
          <w:p w:rsidR="00000000" w:rsidDel="00000000" w:rsidP="00000000" w:rsidRDefault="00000000" w:rsidRPr="00000000" w14:paraId="00000114">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2131.2 Аналітик комп'ютерного банку даних; </w:t>
            </w:r>
          </w:p>
          <w:p w:rsidR="00000000" w:rsidDel="00000000" w:rsidP="00000000" w:rsidRDefault="00000000" w:rsidRPr="00000000" w14:paraId="0000011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2149.2 Аналітик систем (крім комп’ютерних);</w:t>
            </w:r>
          </w:p>
        </w:tc>
        <w:tc>
          <w:tcPr/>
          <w:p w:rsidR="00000000" w:rsidDel="00000000" w:rsidP="00000000" w:rsidRDefault="00000000" w:rsidRPr="00000000" w14:paraId="0000011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Graduates can work in scientific, educational, analytical, IT, and other institutions and units in positions that require the application of system analysis methods.</w:t>
            </w:r>
          </w:p>
          <w:p w:rsidR="00000000" w:rsidDel="00000000" w:rsidP="00000000" w:rsidRDefault="00000000" w:rsidRPr="00000000" w14:paraId="00000117">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Graduates may hold entry-level positions in occupations defined by the National Classifier of Occupations of Ukraine (DK 003:2010):</w:t>
            </w:r>
          </w:p>
          <w:p w:rsidR="00000000" w:rsidDel="00000000" w:rsidP="00000000" w:rsidRDefault="00000000" w:rsidRPr="00000000" w14:paraId="0000011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2131.2 Computer System Analyst</w:t>
            </w:r>
          </w:p>
          <w:p w:rsidR="00000000" w:rsidDel="00000000" w:rsidP="00000000" w:rsidRDefault="00000000" w:rsidRPr="00000000" w14:paraId="0000011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2131.2 Computer Data Bank Analyst (Database Analyst)</w:t>
            </w:r>
          </w:p>
          <w:p w:rsidR="00000000" w:rsidDel="00000000" w:rsidP="00000000" w:rsidRDefault="00000000" w:rsidRPr="00000000" w14:paraId="0000011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2149.2 System Analyst (non-computer systems)</w:t>
            </w:r>
          </w:p>
        </w:tc>
      </w:tr>
      <w:tr>
        <w:trPr>
          <w:cantSplit w:val="0"/>
          <w:tblHeader w:val="0"/>
        </w:trPr>
        <w:tc>
          <w:tcPr>
            <w:gridSpan w:val="2"/>
            <w:shd w:fill="ffffff" w:val="clea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Академічні права випускників / Graduates’ academic rights</w:t>
            </w:r>
          </w:p>
        </w:tc>
      </w:tr>
      <w:tr>
        <w:trPr>
          <w:cantSplit w:val="0"/>
          <w:tblHeader w:val="0"/>
        </w:trPr>
        <w:tc>
          <w:tcPr>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Продовження навчання на третьому (доктор філософії) рівні вищої освіти. Набуття додаткових кваліфікацій в системі освіти дорослих.</w:t>
            </w:r>
          </w:p>
        </w:tc>
        <w:tc>
          <w:tcPr/>
          <w:p w:rsidR="00000000" w:rsidDel="00000000" w:rsidP="00000000" w:rsidRDefault="00000000" w:rsidRPr="00000000" w14:paraId="0000011E">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Continuation of studies at the third level of higher education (Doctor of Philosophy, PhD). Acquisition of additional qualifications within adult education.</w:t>
            </w:r>
          </w:p>
        </w:tc>
      </w:tr>
      <w:tr>
        <w:trPr>
          <w:cantSplit w:val="0"/>
          <w:trHeight w:val="661" w:hRule="atLeast"/>
          <w:tblHeader w:val="0"/>
        </w:trPr>
        <w:tc>
          <w:tcPr>
            <w:gridSpan w:val="2"/>
            <w:shd w:fill="bfbfbf" w:val="clea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1.5 Викладання та оцінювання/ Teaching and assessment</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викладання та навчання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8"/>
                <w:szCs w:val="28"/>
                <w:rtl w:val="0"/>
              </w:rPr>
              <w:t xml:space="preserve">Teaching and Learning Methods</w:t>
            </w:r>
          </w:p>
        </w:tc>
      </w:tr>
      <w:tr>
        <w:trPr>
          <w:cantSplit w:val="0"/>
          <w:tblHeader w:val="0"/>
        </w:trPr>
        <w:tc>
          <w:tcP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white"/>
                <w:rtl w:val="0"/>
              </w:rPr>
              <w:t xml:space="preserve">Викладання та навчання ґрунтується на впровадженні активних методів, що забезпечують особистісно орієнтований підхід, розвиток критичного мислення та фахової автономії здобувачів. Освітній процес побудований на засадах студентоцентрованого, проблемно-орієнтованого та інтерактивного навчання із широким використанням веб-технологій і самонавчання. Вивчення дисциплін передбачає проведення лекцій, практичних і лабораторних занять, роботу в малих групах, що формує горизонтальні зв’язки між здобувачами, підготовку та презентацію навчальних і дослідницьких проєктів, участь у дебатах і фахових дискусіях. Значна увага приділяється індивідуальній роботі під керівництвом викладачів при підготовці до конференцій, виконанні курсового проєкту та кваліфікаційної магістерської роботи, представлені отриманих результатів на конференціях. Магістранти залучаються до самостійного дослідження з використанням ресурсної бази університету(бібліотеки, комп’ютерних класів), а також потенціалу партнерських установ.</w:t>
            </w:r>
            <w:r w:rsidDel="00000000" w:rsidR="00000000" w:rsidRPr="00000000">
              <w:rPr>
                <w:rtl w:val="0"/>
              </w:rPr>
            </w:r>
          </w:p>
        </w:tc>
        <w:tc>
          <w:tcPr/>
          <w:p w:rsidR="00000000" w:rsidDel="00000000" w:rsidP="00000000" w:rsidRDefault="00000000" w:rsidRPr="00000000" w14:paraId="00000124">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Teaching and learning are based on the implementation of active learning methods that ensure a learner-centered approach, the development of critical thinking, and professional autonomy of students. The educational process is grounded in student-centered, problem-based, and interactive learning, with extensive use of web technologies and self-directed study.</w:t>
            </w:r>
          </w:p>
          <w:p w:rsidR="00000000" w:rsidDel="00000000" w:rsidP="00000000" w:rsidRDefault="00000000" w:rsidRPr="00000000" w14:paraId="0000012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study of disciplines includes lectures, practical and laboratory classes, work in small groups that foster horizontal collaboration among students, preparation and presentation of academic and research projects, participation in debates and professional discussions.</w:t>
            </w:r>
          </w:p>
          <w:p w:rsidR="00000000" w:rsidDel="00000000" w:rsidP="00000000" w:rsidRDefault="00000000" w:rsidRPr="00000000" w14:paraId="0000012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Particular attention is paid to individual work under the supervision of instructors in preparation for academic conferences, course projects, and the master's qualification thesis, as well as the presentation of research findings. Master’s students conduct independent research drawing on university resources—such as libraries and computer labs—as well as the capabilities of partner institutions.</w:t>
            </w:r>
          </w:p>
        </w:tc>
      </w:tr>
      <w:tr>
        <w:trPr>
          <w:cantSplit w:val="0"/>
          <w:tblHeader w:val="0"/>
        </w:trPr>
        <w:tc>
          <w:tcPr>
            <w:gridSpan w:val="2"/>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Методи оцінювання / Assessment Methods</w:t>
            </w:r>
          </w:p>
        </w:tc>
      </w:tr>
      <w:tr>
        <w:trPr>
          <w:cantSplit w:val="0"/>
          <w:tblHeader w:val="0"/>
        </w:trPr>
        <w:tc>
          <w:tcPr>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Контроль якості освіти передбачає контрольні заходи й аналітичну роботу щодо аналізу їх результатів. Результати навчання здобувача оцінюються за допомогою контрольних заходів, передбачених освітньою програмою та програмами освітніх компонентів за 100-бальною шкалою або за двобальною шкалою (зараховано</w:t>
            </w:r>
          </w:p>
          <w:p w:rsidR="00000000" w:rsidDel="00000000" w:rsidP="00000000" w:rsidRDefault="00000000" w:rsidRPr="00000000" w14:paraId="0000012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не зараховано). Частка обов'язкових освітніх компонентів, які передбачають підсумкове оцінювання за 100-бальною шкалою має становити не менш 70% від загальної кількості освітніх компонентів.</w:t>
            </w:r>
          </w:p>
          <w:p w:rsidR="00000000" w:rsidDel="00000000" w:rsidP="00000000" w:rsidRDefault="00000000" w:rsidRPr="00000000" w14:paraId="0000012B">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Контрольні заходи включають підсумковий контроль, а також можуть</w:t>
            </w:r>
          </w:p>
          <w:p w:rsidR="00000000" w:rsidDel="00000000" w:rsidP="00000000" w:rsidRDefault="00000000" w:rsidRPr="00000000" w14:paraId="0000012C">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передбачати вхідний, поточний, проміжний та інші форми контролю, якщо вони визначені програмами освітніх компонентів. Форми контрольних заходів, критерії, методи та інструменти оцінювання мають відповідати цілям навчання та очікуваним результатам навчання з кожного освітнього компонента.</w:t>
            </w:r>
          </w:p>
        </w:tc>
        <w:tc>
          <w:tcPr/>
          <w:p w:rsidR="00000000" w:rsidDel="00000000" w:rsidP="00000000" w:rsidRDefault="00000000" w:rsidRPr="00000000" w14:paraId="0000012D">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quality assurance system includes assessment procedures and analytical activities aimed at evaluating their outcomes. Student learning outcomes are assessed through evaluation methods defined in the educational program and the syllabi of individual course components, using either a 100-point scale or a binary scale ("pass" / "fail"). At least 70% of the mandatory educational components must include final assessment based on the 100-point scale.</w:t>
            </w:r>
          </w:p>
          <w:p w:rsidR="00000000" w:rsidDel="00000000" w:rsidP="00000000" w:rsidRDefault="00000000" w:rsidRPr="00000000" w14:paraId="0000012E">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Assessment procedures include final assessment and may also involve entrance, ongoing, periodic (interim), and other forms of assessment, as defined by the relevant course component syllabi. The forms of assessment, as well as the criteria, methods, and tools used, must align with the learning objectives and expected learning outcomes of each educational component.</w:t>
            </w:r>
            <w:r w:rsidDel="00000000" w:rsidR="00000000" w:rsidRPr="00000000">
              <w:rPr>
                <w:rtl w:val="0"/>
              </w:rPr>
            </w:r>
          </w:p>
        </w:tc>
      </w:tr>
      <w:tr>
        <w:trPr>
          <w:cantSplit w:val="0"/>
          <w:trHeight w:val="641" w:hRule="atLeast"/>
          <w:tblHeader w:val="0"/>
        </w:trPr>
        <w:tc>
          <w:tcPr>
            <w:gridSpan w:val="2"/>
            <w:shd w:fill="bfbfbf" w:val="clear"/>
          </w:tcPr>
          <w:p w:rsidR="00000000" w:rsidDel="00000000" w:rsidP="00000000" w:rsidRDefault="00000000" w:rsidRPr="00000000" w14:paraId="0000012F">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rtl w:val="0"/>
              </w:rPr>
              <w:t xml:space="preserve">1.6 Програмні компетентності / Programme Competences</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Інтегральна компетентність / Integral competence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Здатність розв’язувати задачі дослідницького та/або інноваційного характеру у галузі системного аналізу.</w:t>
            </w:r>
          </w:p>
        </w:tc>
        <w:tc>
          <w:tcPr>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Ability to solve research and/or innovation-oriented problems in the field of systems analysis.</w:t>
            </w:r>
          </w:p>
        </w:tc>
      </w:tr>
      <w:tr>
        <w:trPr>
          <w:cantSplit w:val="0"/>
          <w:tblHeader w:val="0"/>
        </w:trPr>
        <w:tc>
          <w:tcPr>
            <w:gridSpan w:val="2"/>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Загальні компетентності (ЗК) / General competencies (GC)</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ЗК1. Здатність до абстрактного мислення, аналізу та синтезу.</w:t>
            </w:r>
          </w:p>
          <w:p w:rsidR="00000000" w:rsidDel="00000000" w:rsidP="00000000" w:rsidRDefault="00000000" w:rsidRPr="00000000" w14:paraId="0000013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ЗК2. Здатність спілкуватися іноземною мовою.</w:t>
            </w:r>
          </w:p>
          <w:p w:rsidR="00000000" w:rsidDel="00000000" w:rsidP="00000000" w:rsidRDefault="00000000" w:rsidRPr="00000000" w14:paraId="00000139">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ЗК3. Здатність до пошуку, оброблення та аналізу інформації з різних джерел.</w:t>
            </w:r>
          </w:p>
          <w:p w:rsidR="00000000" w:rsidDel="00000000" w:rsidP="00000000" w:rsidRDefault="00000000" w:rsidRPr="00000000" w14:paraId="0000013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ЗК4. Здатність спілкуватися з представниками інших професійних груп різного рівня (з експертами з інших галузей знань/видів економічної діяльності).</w:t>
            </w:r>
          </w:p>
          <w:p w:rsidR="00000000" w:rsidDel="00000000" w:rsidP="00000000" w:rsidRDefault="00000000" w:rsidRPr="00000000" w14:paraId="0000013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ЗК5. Здатність розробляти проєкти та управляти ними.</w:t>
            </w:r>
          </w:p>
          <w:p w:rsidR="00000000" w:rsidDel="00000000" w:rsidP="00000000" w:rsidRDefault="00000000" w:rsidRPr="00000000" w14:paraId="0000013C">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ЗК6. Здатність генерувати нові ідеї (креативність).</w:t>
            </w:r>
          </w:p>
        </w:tc>
        <w:tc>
          <w:tcPr/>
          <w:p w:rsidR="00000000" w:rsidDel="00000000" w:rsidP="00000000" w:rsidRDefault="00000000" w:rsidRPr="00000000" w14:paraId="0000013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GC1. Ability to think abstractly, analyze, and synthesize.</w:t>
            </w:r>
          </w:p>
          <w:p w:rsidR="00000000" w:rsidDel="00000000" w:rsidP="00000000" w:rsidRDefault="00000000" w:rsidRPr="00000000" w14:paraId="0000013E">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GC2. Ability to communicate in a foreign language.</w:t>
            </w:r>
          </w:p>
          <w:p w:rsidR="00000000" w:rsidDel="00000000" w:rsidP="00000000" w:rsidRDefault="00000000" w:rsidRPr="00000000" w14:paraId="0000013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GC3. Ability to search for, process, and analyze information from various sources.</w:t>
            </w:r>
          </w:p>
          <w:p w:rsidR="00000000" w:rsidDel="00000000" w:rsidP="00000000" w:rsidRDefault="00000000" w:rsidRPr="00000000" w14:paraId="0000014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GC4. Ability to communicate with representatives of other professional groups at different levels (including experts from other fields/sectors of economic activity).</w:t>
            </w:r>
          </w:p>
          <w:p w:rsidR="00000000" w:rsidDel="00000000" w:rsidP="00000000" w:rsidRDefault="00000000" w:rsidRPr="00000000" w14:paraId="0000014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GC5. Ability to develop projects and manage them.</w:t>
            </w:r>
          </w:p>
          <w:p w:rsidR="00000000" w:rsidDel="00000000" w:rsidP="00000000" w:rsidRDefault="00000000" w:rsidRPr="00000000" w14:paraId="0000014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GC6. Ability to generate new ideas (creativity).</w:t>
            </w:r>
          </w:p>
        </w:tc>
      </w:tr>
      <w:tr>
        <w:trPr>
          <w:cantSplit w:val="0"/>
          <w:tblHeader w:val="0"/>
        </w:trPr>
        <w:tc>
          <w:tcPr>
            <w:gridSpan w:val="2"/>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 (фахові, предметні) компетентності (СК) / Special (Professional, Subject-Specific) Competences (SC)</w:t>
            </w:r>
          </w:p>
        </w:tc>
      </w:tr>
      <w:tr>
        <w:trPr>
          <w:cantSplit w:val="0"/>
          <w:tblHeader w:val="0"/>
        </w:trPr>
        <w:tc>
          <w:tcP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СК1. Здатність інтегрувати знання та здійснювати системні дослідження, застосовувати методи математичного та інформаційного моделювання складних систем та процесів різної природи.</w:t>
            </w:r>
          </w:p>
          <w:p w:rsidR="00000000" w:rsidDel="00000000" w:rsidP="00000000" w:rsidRDefault="00000000" w:rsidRPr="00000000" w14:paraId="00000146">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СК2. Здатність проєктувати архітектуру інформаційних систем.</w:t>
            </w:r>
          </w:p>
          <w:p w:rsidR="00000000" w:rsidDel="00000000" w:rsidP="00000000" w:rsidRDefault="00000000" w:rsidRPr="00000000" w14:paraId="0000014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СК3. Здатність розробляти системи підтримки прийняття рішень та рекомендаційні системи.</w:t>
            </w:r>
          </w:p>
          <w:p w:rsidR="00000000" w:rsidDel="00000000" w:rsidP="00000000" w:rsidRDefault="00000000" w:rsidRPr="00000000" w14:paraId="0000014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СК4. Здатність оцінювати ризики, розробляти алгоритми управління ризиками в складних системах різної природи.</w:t>
            </w:r>
          </w:p>
          <w:p w:rsidR="00000000" w:rsidDel="00000000" w:rsidP="00000000" w:rsidRDefault="00000000" w:rsidRPr="00000000" w14:paraId="00000149">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СК5. Здатність моделювати, прогнозувати та проєктувати складні системи і процеси на основі методів та інструментальних засобів системного аналізу.</w:t>
            </w:r>
          </w:p>
          <w:p w:rsidR="00000000" w:rsidDel="00000000" w:rsidP="00000000" w:rsidRDefault="00000000" w:rsidRPr="00000000" w14:paraId="0000014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СК6. Здатність застосовувати теорію і методи Data Science для здійснення інтелектуального аналізу даних з метою виявлення нових властивостей та генерації нових знань про складні системи.</w:t>
            </w:r>
          </w:p>
          <w:p w:rsidR="00000000" w:rsidDel="00000000" w:rsidP="00000000" w:rsidRDefault="00000000" w:rsidRPr="00000000" w14:paraId="0000014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СК7. Здатність управляти робочими процесами у сфері інформаційних технологій, які є складними, непередбачуваними та потребують нових стратегічних підходів.</w:t>
            </w:r>
          </w:p>
          <w:p w:rsidR="00000000" w:rsidDel="00000000" w:rsidP="00000000" w:rsidRDefault="00000000" w:rsidRPr="00000000" w14:paraId="0000014C">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СК8. Здатність розробляти і реалізовувати наукові та прикладні проєкти в галузі інформаційних технологій та дотичні до неї міждисциплінарні проєкти.</w:t>
            </w:r>
          </w:p>
          <w:p w:rsidR="00000000" w:rsidDel="00000000" w:rsidP="00000000" w:rsidRDefault="00000000" w:rsidRPr="00000000" w14:paraId="0000014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СК9. Здатність здійснювати захист прав інтелектуальної власності, комерціалізацію результатів досліджень та інновацій.</w:t>
            </w:r>
          </w:p>
          <w:p w:rsidR="00000000" w:rsidDel="00000000" w:rsidP="00000000" w:rsidRDefault="00000000" w:rsidRPr="00000000" w14:paraId="0000014E">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СК10. Здатність до самоосвіти та професійного розвитку.</w:t>
            </w:r>
          </w:p>
          <w:p w:rsidR="00000000" w:rsidDel="00000000" w:rsidP="00000000" w:rsidRDefault="00000000" w:rsidRPr="00000000" w14:paraId="0000014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СК11. Здатність критично осмислювати проблеми у галузі інформаційних технологій та на межі галузей знань та розв’язувати складні задачі у широких або мультидисциплінарних контекстах.</w:t>
            </w:r>
          </w:p>
          <w:p w:rsidR="00000000" w:rsidDel="00000000" w:rsidP="00000000" w:rsidRDefault="00000000" w:rsidRPr="00000000" w14:paraId="0000015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СК12. Здатність розв’язувати проблеми системного аналізу та його застосувань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p w:rsidR="00000000" w:rsidDel="00000000" w:rsidP="00000000" w:rsidRDefault="00000000" w:rsidRPr="00000000" w14:paraId="0000015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SC1. Ability to integrate knowledge and conduct systems research; to apply methods of mathematical and information (computer) modeling of complex systems and processes of various types.</w:t>
            </w:r>
          </w:p>
          <w:p w:rsidR="00000000" w:rsidDel="00000000" w:rsidP="00000000" w:rsidRDefault="00000000" w:rsidRPr="00000000" w14:paraId="0000015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SC2. Ability to design the architecture of information systems.</w:t>
            </w:r>
          </w:p>
          <w:p w:rsidR="00000000" w:rsidDel="00000000" w:rsidP="00000000" w:rsidRDefault="00000000" w:rsidRPr="00000000" w14:paraId="0000015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SC3. Ability to develop decision-support systems and recommender systems.</w:t>
            </w:r>
          </w:p>
          <w:p w:rsidR="00000000" w:rsidDel="00000000" w:rsidP="00000000" w:rsidRDefault="00000000" w:rsidRPr="00000000" w14:paraId="0000015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SC4. Ability to assess risks and develop risk-management algorithms in complex systems of various types.</w:t>
            </w:r>
          </w:p>
          <w:p w:rsidR="00000000" w:rsidDel="00000000" w:rsidP="00000000" w:rsidRDefault="00000000" w:rsidRPr="00000000" w14:paraId="0000015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SC5. Ability to model, forecast, and design complex systems and processes using the methods and tools of systems analysis.</w:t>
            </w:r>
          </w:p>
          <w:p w:rsidR="00000000" w:rsidDel="00000000" w:rsidP="00000000" w:rsidRDefault="00000000" w:rsidRPr="00000000" w14:paraId="00000156">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SC6. Ability to apply Data Science theory and methods to perform intelligent data analysis to identify new properties and generate new knowledge about complex systems.</w:t>
            </w:r>
          </w:p>
          <w:p w:rsidR="00000000" w:rsidDel="00000000" w:rsidP="00000000" w:rsidRDefault="00000000" w:rsidRPr="00000000" w14:paraId="0000015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SC7. Ability to manage workflows in the field of information technology that are complex, unpredictable, and require new strategic approaches.</w:t>
            </w:r>
          </w:p>
          <w:p w:rsidR="00000000" w:rsidDel="00000000" w:rsidP="00000000" w:rsidRDefault="00000000" w:rsidRPr="00000000" w14:paraId="0000015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SC8. Ability to develop and implement scientific and applied projects in information technology and related interdisciplinary areas.</w:t>
            </w:r>
          </w:p>
          <w:p w:rsidR="00000000" w:rsidDel="00000000" w:rsidP="00000000" w:rsidRDefault="00000000" w:rsidRPr="00000000" w14:paraId="00000159">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SC9. Ability to protect intellectual property rights and commercialize research and innovation results.</w:t>
            </w:r>
          </w:p>
          <w:p w:rsidR="00000000" w:rsidDel="00000000" w:rsidP="00000000" w:rsidRDefault="00000000" w:rsidRPr="00000000" w14:paraId="0000015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SC10. Ability for self-directed learning and professional development.</w:t>
            </w:r>
          </w:p>
          <w:p w:rsidR="00000000" w:rsidDel="00000000" w:rsidP="00000000" w:rsidRDefault="00000000" w:rsidRPr="00000000" w14:paraId="0000015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SC11. Ability to think critically about problems in information technology and at disciplinary boundaries, and to solve complex problems in broad or multidisciplinary contexts.</w:t>
            </w:r>
          </w:p>
          <w:p w:rsidR="00000000" w:rsidDel="00000000" w:rsidP="00000000" w:rsidRDefault="00000000" w:rsidRPr="00000000" w14:paraId="0000015C">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SC12. Ability to solve systems-analysis problems and their applications in new or unfamiliar environments under conditions of incomplete or limited information while taking into account social and ethical responsibility.</w:t>
            </w:r>
          </w:p>
        </w:tc>
      </w:tr>
      <w:tr>
        <w:trPr>
          <w:cantSplit w:val="0"/>
          <w:tblHeader w:val="0"/>
        </w:trPr>
        <w:tc>
          <w:tcPr>
            <w:gridSpan w:val="2"/>
            <w:shd w:fill="bfbfbf" w:val="clear"/>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1.7 Програмні результати навчання (ПРН) / Programme learning outcomes (PLO)</w:t>
            </w:r>
          </w:p>
        </w:tc>
      </w:tr>
      <w:tr>
        <w:trPr>
          <w:cantSplit w:val="0"/>
          <w:tblHeader w:val="0"/>
        </w:trPr>
        <w:tc>
          <w:tcPr/>
          <w:p w:rsidR="00000000" w:rsidDel="00000000" w:rsidP="00000000" w:rsidRDefault="00000000" w:rsidRPr="00000000" w14:paraId="0000015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ПРН1. Застосовувати спеціалізовані концептуальні знання, що включають сучасні наукові здобутки у сфері системного аналізу та інформаційних технологій і є основою для оригінального мислення та проведення досліджень.</w:t>
            </w:r>
          </w:p>
          <w:p w:rsidR="00000000" w:rsidDel="00000000" w:rsidP="00000000" w:rsidRDefault="00000000" w:rsidRPr="00000000" w14:paraId="0000016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ПРН2. Будувати та досліджувати моделі складних систем і процесів застосовуючи методи системного аналізу, математичного, комп’ютерного та інформаційного моделювання.</w:t>
            </w:r>
          </w:p>
          <w:p w:rsidR="00000000" w:rsidDel="00000000" w:rsidP="00000000" w:rsidRDefault="00000000" w:rsidRPr="00000000" w14:paraId="0000016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ПРН3. Застосовувати методи розкриття невизначеностей в задачах системного аналізу, розкривати ситуаційні невизначеності та невизначеності в задачах взаємодії, протидії та конфлікту стратегій, знаходити компроміс при розкритті концептуальної невизначеності.</w:t>
            </w:r>
          </w:p>
          <w:p w:rsidR="00000000" w:rsidDel="00000000" w:rsidP="00000000" w:rsidRDefault="00000000" w:rsidRPr="00000000" w14:paraId="0000016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ПРН4. Розробляти та застосовувати методи, алгоритми та інструменти прогнозування розвитку складних систем і процесів різної природи.</w:t>
            </w:r>
          </w:p>
          <w:p w:rsidR="00000000" w:rsidDel="00000000" w:rsidP="00000000" w:rsidRDefault="00000000" w:rsidRPr="00000000" w14:paraId="0000016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ПРН5. Використовувати міри оцінювання ризиків та застосовувати їх при аналізі багатофакторних ризиків в складних системах.</w:t>
            </w:r>
          </w:p>
          <w:p w:rsidR="00000000" w:rsidDel="00000000" w:rsidP="00000000" w:rsidRDefault="00000000" w:rsidRPr="00000000" w14:paraId="0000016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ПРН6. Застосовувати методи машинного навчання та інтелектуального аналізу даних, математичний апарат нечіткої логіки, теорії ігор та розподіленого штучного інтелекту для розв’язання складних задач системного аналізу.</w:t>
            </w:r>
          </w:p>
          <w:p w:rsidR="00000000" w:rsidDel="00000000" w:rsidP="00000000" w:rsidRDefault="00000000" w:rsidRPr="00000000" w14:paraId="0000016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ПРН7. Розробляти інтелектуальні системи в умовах слабо структурованих даних різної природи.</w:t>
            </w:r>
          </w:p>
          <w:p w:rsidR="00000000" w:rsidDel="00000000" w:rsidP="00000000" w:rsidRDefault="00000000" w:rsidRPr="00000000" w14:paraId="00000166">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ПРН8. Здійснювати ідентифікацію та оцінювання параметрів математичних моделей об’єктів керування.</w:t>
            </w:r>
          </w:p>
          <w:p w:rsidR="00000000" w:rsidDel="00000000" w:rsidP="00000000" w:rsidRDefault="00000000" w:rsidRPr="00000000" w14:paraId="0000016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ПРН9. Розробляти та застосовувати моделі, методи та алгоритми прийняття рішень в умовах конфлікту, нечіткої інформації, невизначеності та ризиків.</w:t>
            </w:r>
          </w:p>
          <w:p w:rsidR="00000000" w:rsidDel="00000000" w:rsidP="00000000" w:rsidRDefault="00000000" w:rsidRPr="00000000" w14:paraId="0000016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ПРН10. Зрозуміло і недвозначно доносити власні знання, висновки та аргументацію до фахівців і нефахівців, зокрема до осіб, які навчаються</w:t>
            </w:r>
          </w:p>
          <w:p w:rsidR="00000000" w:rsidDel="00000000" w:rsidP="00000000" w:rsidRDefault="00000000" w:rsidRPr="00000000" w14:paraId="00000169">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ПРН11. Вільно презентувати та обговорювати усно і письмово результати досліджень та інновацій, інші питання професійної діяльності державною та англійською мовами.</w:t>
            </w:r>
          </w:p>
          <w:p w:rsidR="00000000" w:rsidDel="00000000" w:rsidP="00000000" w:rsidRDefault="00000000" w:rsidRPr="00000000" w14:paraId="0000016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ПРН12. Розробляти і реалізовувати наукові і прикладні проєкти у сфері інформаційних технологій, а також дотичні до неї міждисциплінарні проєкти з урахуванням цілей, обмежень, технічних, соціальних, економічних, правових та інших аспектів.</w:t>
            </w:r>
          </w:p>
          <w:p w:rsidR="00000000" w:rsidDel="00000000" w:rsidP="00000000" w:rsidRDefault="00000000" w:rsidRPr="00000000" w14:paraId="0000016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ПРН13. Розв'язувати задачі багатокритеріальної оптимізації в умовах визначеності та невизначеності, формувати критерії оптимальності, оцінювати ефективність розв'язків.</w:t>
            </w:r>
          </w:p>
        </w:tc>
        <w:tc>
          <w:tcPr/>
          <w:p w:rsidR="00000000" w:rsidDel="00000000" w:rsidP="00000000" w:rsidRDefault="00000000" w:rsidRPr="00000000" w14:paraId="0000016C">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PLO1. Utilize specialized conceptual knowledge based on current developments in system analysis and information technology to support original thought and research.</w:t>
            </w:r>
          </w:p>
          <w:p w:rsidR="00000000" w:rsidDel="00000000" w:rsidP="00000000" w:rsidRDefault="00000000" w:rsidRPr="00000000" w14:paraId="0000016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PLO2. Develop and analyze models of complex systems and processes utilizing techniques from systems analysis as well as mathematical, computational, and information modeling methodologies.</w:t>
            </w:r>
          </w:p>
          <w:p w:rsidR="00000000" w:rsidDel="00000000" w:rsidP="00000000" w:rsidRDefault="00000000" w:rsidRPr="00000000" w14:paraId="0000016E">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PLO3. Apply methods for addressing uncertainties in systems-analysis tasks; elucidate situational uncertainties and uncertainties in problems of interaction, opposition, and strategic conflict; identify compromises when resolving conceptual uncertainty.</w:t>
            </w:r>
          </w:p>
          <w:p w:rsidR="00000000" w:rsidDel="00000000" w:rsidP="00000000" w:rsidRDefault="00000000" w:rsidRPr="00000000" w14:paraId="0000016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PLO4. Develop and apply methods, algorithms, and tools in order to forecast the evolution of complex systems and processes of various natures.</w:t>
            </w:r>
          </w:p>
          <w:p w:rsidR="00000000" w:rsidDel="00000000" w:rsidP="00000000" w:rsidRDefault="00000000" w:rsidRPr="00000000" w14:paraId="0000017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PLO5. Use risk-assessment measures and apply them to the analysis of multifactor risks in complex systems.</w:t>
            </w:r>
          </w:p>
          <w:p w:rsidR="00000000" w:rsidDel="00000000" w:rsidP="00000000" w:rsidRDefault="00000000" w:rsidRPr="00000000" w14:paraId="0000017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PLO6. Apply machine-learning and data-mining methods, together with the mathematical apparatus of fuzzy logic, game theory, and distributed artificial intelligence, to solve complex systems-analysis problems.</w:t>
            </w:r>
          </w:p>
          <w:p w:rsidR="00000000" w:rsidDel="00000000" w:rsidP="00000000" w:rsidRDefault="00000000" w:rsidRPr="00000000" w14:paraId="0000017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PLO7. Develop intelligent systems under conditions of poorly structured data of diverse types.</w:t>
            </w:r>
          </w:p>
          <w:p w:rsidR="00000000" w:rsidDel="00000000" w:rsidP="00000000" w:rsidRDefault="00000000" w:rsidRPr="00000000" w14:paraId="0000017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PLO8. Perform identification and estimation of parameters of mathematical models for controlled objects.</w:t>
            </w:r>
          </w:p>
          <w:p w:rsidR="00000000" w:rsidDel="00000000" w:rsidP="00000000" w:rsidRDefault="00000000" w:rsidRPr="00000000" w14:paraId="0000017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PLO9. Develop and apply models, methods, and algorithms for decision-making under conflict, imprecise information, uncertainty, and risk.</w:t>
            </w:r>
          </w:p>
          <w:p w:rsidR="00000000" w:rsidDel="00000000" w:rsidP="00000000" w:rsidRDefault="00000000" w:rsidRPr="00000000" w14:paraId="0000017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PLO10. Communicate one’s knowledge, conclusions, and arguments clearly and unambiguously to specialists and non-specialists, including learners.</w:t>
            </w:r>
          </w:p>
          <w:p w:rsidR="00000000" w:rsidDel="00000000" w:rsidP="00000000" w:rsidRDefault="00000000" w:rsidRPr="00000000" w14:paraId="00000176">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PLO11. Freely present and discuss research outcomes, innovation results and other professional matters in the state language and in English, orally and in writing.</w:t>
            </w:r>
          </w:p>
          <w:p w:rsidR="00000000" w:rsidDel="00000000" w:rsidP="00000000" w:rsidRDefault="00000000" w:rsidRPr="00000000" w14:paraId="0000017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PLO12. Carry out scientific and applied projects in information technology and related interdisciplinary areas, considering objectives, constraints, and relevant technical, social, economic, and legal factors.</w:t>
            </w:r>
          </w:p>
          <w:p w:rsidR="00000000" w:rsidDel="00000000" w:rsidP="00000000" w:rsidRDefault="00000000" w:rsidRPr="00000000" w14:paraId="0000017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PLO13. Solve multi-criteria optimization problems under certainty and uncertainty, formulate optimality criteria, and evaluate the effectiveness of solutions.</w:t>
            </w:r>
          </w:p>
        </w:tc>
      </w:tr>
      <w:tr>
        <w:trPr>
          <w:cantSplit w:val="0"/>
          <w:tblHeader w:val="0"/>
        </w:trPr>
        <w:tc>
          <w:tcPr>
            <w:gridSpan w:val="2"/>
            <w:shd w:fill="bfbfbf" w:val="clear"/>
            <w:vAlign w:val="center"/>
          </w:tcPr>
          <w:p w:rsidR="00000000" w:rsidDel="00000000" w:rsidP="00000000" w:rsidRDefault="00000000" w:rsidRPr="00000000" w14:paraId="00000179">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1.8 Ресурсне забезпечення реалізації освітньої програми / Resource Support for the Implementation of the Educational Programme</w:t>
            </w:r>
          </w:p>
        </w:tc>
      </w:tr>
      <w:tr>
        <w:trPr>
          <w:cantSplit w:val="0"/>
          <w:tblHeader w:val="0"/>
        </w:trPr>
        <w:tc>
          <w:tcPr>
            <w:gridSpan w:val="2"/>
            <w:vAlign w:val="center"/>
          </w:tcPr>
          <w:p w:rsidR="00000000" w:rsidDel="00000000" w:rsidP="00000000" w:rsidRDefault="00000000" w:rsidRPr="00000000" w14:paraId="0000017B">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Кадрове забезпечення / Academic Staff Support</w:t>
            </w:r>
          </w:p>
        </w:tc>
      </w:tr>
      <w:tr>
        <w:trPr>
          <w:cantSplit w:val="0"/>
          <w:tblHeader w:val="0"/>
        </w:trPr>
        <w:tc>
          <w:tcPr>
            <w:vAlign w:val="center"/>
          </w:tcPr>
          <w:p w:rsidR="00000000" w:rsidDel="00000000" w:rsidP="00000000" w:rsidRDefault="00000000" w:rsidRPr="00000000" w14:paraId="0000017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Освітній процес за ОПП забезпечує випускова кафедра системного аналізу та обчислювальної математики. 100% викладачів кафедри мають науковий ступінь і вчене звання та працюють за основним місцем роботи, серед яких 50% мають науковий ступінь доктора наук та вчене звання професора. Всі науково-педагогічні працівники мають рівень наукової та професійної активності, який відповідає Ліцензійним умовам провадження освітньої діяльності, а саме не менше чотирьох досягнень у професійній діяльності за останні п’ять років, визначених у </w:t>
            </w:r>
            <w:hyperlink r:id="rId15">
              <w:r w:rsidDel="00000000" w:rsidR="00000000" w:rsidRPr="00000000">
                <w:rPr>
                  <w:rFonts w:ascii="Times New Roman" w:cs="Times New Roman" w:eastAsia="Times New Roman" w:hAnsi="Times New Roman"/>
                  <w:sz w:val="24"/>
                  <w:szCs w:val="24"/>
                  <w:highlight w:val="white"/>
                  <w:rtl w:val="0"/>
                </w:rPr>
                <w:t xml:space="preserve">пункті 38</w:t>
              </w:r>
            </w:hyperlink>
            <w:r w:rsidDel="00000000" w:rsidR="00000000" w:rsidRPr="00000000">
              <w:rPr>
                <w:rFonts w:ascii="Times New Roman" w:cs="Times New Roman" w:eastAsia="Times New Roman" w:hAnsi="Times New Roman"/>
                <w:sz w:val="24"/>
                <w:szCs w:val="24"/>
                <w:highlight w:val="white"/>
                <w:rtl w:val="0"/>
              </w:rPr>
              <w:t xml:space="preserve"> Ліцензійних умов. Відповідність освітньої та/або професійної кваліфікації науково-педагогічних працівників освітньому компоненту визначається на підставі документів  про вищу освіту; присудження наукового ступеня; наявність досвіду професійної діяльності за відповідним фахом не менше п’яти років (крім педагогічної, науково-педагогічної, наукової діяльності); керівництво (консультування) дисертації на здобуття наукового ступеня за спеціальністю, що була захищена в Україні або за кордоном та щонайменше п’ятьма публікаціями у наукових виданнях, які включені до переліку фахових видань України, до наукометричних баз, зокрема Scopus, Web of Science Core Collection, протягом останніх п’яти років.</w:t>
            </w:r>
          </w:p>
        </w:tc>
        <w:tc>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line="21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educational process under the Educational and Professional Programme is provided by the graduating Department of System Analysis and Computational Mathematics. One hundred percent of the department’s faculty hold an academic degree and academic title and are employed full-time; among them, 50% hold the Doctor of Sciences degree and the academic rank of Professor. All academic and teaching staff demonstrate a level of scholarly and professional activity that meets the Licensing Conditions for the provision of educational services — specifically, at least four professional achievements over the past five years, as defined in paragraph 38 of the Licensing Conditions. The compliance of academic and/or professional qualifications of the academic staff with the educational component is determined on the basis of documents attesting to higher education; the awarding of an academic degree; at least five years of professional experience in the relevant field (excluding teaching, academic-teaching, and research activities); supervision (consulting) of a dissertation for an academic degree in a specialty defended in Ukraine or abroad; and at least five publications in scholarly journals included in the list of Ukrainian professional journals or in scientometric databases, in particular Scopus or Web of Science Core Collection, within the last five years.</w:t>
            </w:r>
          </w:p>
        </w:tc>
      </w:tr>
      <w:tr>
        <w:trPr>
          <w:cantSplit w:val="0"/>
          <w:tblHeader w:val="0"/>
        </w:trPr>
        <w:tc>
          <w:tcPr>
            <w:gridSpan w:val="2"/>
            <w:vAlign w:val="center"/>
          </w:tcPr>
          <w:p w:rsidR="00000000" w:rsidDel="00000000" w:rsidP="00000000" w:rsidRDefault="00000000" w:rsidRPr="00000000" w14:paraId="0000017F">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Матеріально – технічне забезпечення / Facilities and Equipment</w:t>
            </w:r>
            <w:r w:rsidDel="00000000" w:rsidR="00000000" w:rsidRPr="00000000">
              <w:rPr>
                <w:rtl w:val="0"/>
              </w:rPr>
            </w:r>
          </w:p>
        </w:tc>
      </w:tr>
      <w:tr>
        <w:trPr>
          <w:cantSplit w:val="0"/>
          <w:tblHeader w:val="0"/>
        </w:trPr>
        <w:tc>
          <w:tcPr/>
          <w:p w:rsidR="00000000" w:rsidDel="00000000" w:rsidP="00000000" w:rsidRDefault="00000000" w:rsidRPr="00000000" w14:paraId="0000018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Для провадження освітньої діяльності за ОПП кафедра системного аналізу та обчислювальної математики забезпечена навчальними аудиторіями, та двома комп’ютерними класами, що забезпечені мультимедійним обладнанням, з комп’ютерною технікою із строком експлуатації не більше восьми років,  лабораторією системного аналізу та обчислювальних методів. Крім того, для освітнього процесу використовується велика комп’ютерна зала загальнофакультетського підпорядкування.</w:t>
            </w:r>
          </w:p>
          <w:p w:rsidR="00000000" w:rsidDel="00000000" w:rsidP="00000000" w:rsidRDefault="00000000" w:rsidRPr="00000000" w14:paraId="00000182">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Здобувачі мають можливість користуватися спортивними залами та спортивними майданчиками, стадіоном в обсязі, достатньому для виконання освітньої програми та навчальних планів, а також медичним пунктом, бібліотекою з читальними залами та електронним каталогом, актовим залом та пунктом харчування. Здобувачі, які цього потребують, забезпечені гуртожитком.</w:t>
            </w:r>
          </w:p>
        </w:tc>
        <w:tc>
          <w:tcPr/>
          <w:p w:rsidR="00000000" w:rsidDel="00000000" w:rsidP="00000000" w:rsidRDefault="00000000" w:rsidRPr="00000000" w14:paraId="0000018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delivery of the Educational and Professional Programme, the Department of System Analysis and Computational Mathematics is provided with teaching classrooms and two computer laboratories equipped with multimedia facilities and computer hardware with a service life of no more than eight years, as well as a laboratory of systems analysis and computational methods. In addition, a large faculty-wide computer hall is used for the educational process. Learners have access to sports halls and outdoor sports grounds, a stadium — sufficient for fulfilling the educational programme and study plans — as well as a medical station, a library with reading rooms and an electronic catalogue, an assembly hall, and a dining facility. Learners who require it are provided with dormitory accommodation.</w:t>
            </w:r>
          </w:p>
        </w:tc>
      </w:tr>
      <w:tr>
        <w:trPr>
          <w:cantSplit w:val="0"/>
          <w:tblHeader w:val="0"/>
        </w:trPr>
        <w:tc>
          <w:tcPr>
            <w:gridSpan w:val="2"/>
            <w:vAlign w:val="center"/>
          </w:tcPr>
          <w:p w:rsidR="00000000" w:rsidDel="00000000" w:rsidP="00000000" w:rsidRDefault="00000000" w:rsidRPr="00000000" w14:paraId="00000184">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Інформаційне та навчально-методичне забезпечення / Information and Educational-Methodical Support</w:t>
            </w:r>
          </w:p>
        </w:tc>
      </w:tr>
      <w:tr>
        <w:trPr>
          <w:cantSplit w:val="0"/>
          <w:tblHeader w:val="0"/>
        </w:trPr>
        <w:tc>
          <w:tcPr>
            <w:vAlign w:val="center"/>
          </w:tcPr>
          <w:p w:rsidR="00000000" w:rsidDel="00000000" w:rsidP="00000000" w:rsidRDefault="00000000" w:rsidRPr="00000000" w14:paraId="00000186">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Наукова бібліотека є офіційним науково-інформаційним підрозділом Національного університету «Запорізька політехніка», однією з найбільших університетських бібліотек регіону. Бібліотечний фонд книгозбірні становить близько 900 тис. одиниць книжкової продукції, авторефератів, монографій, підручників, посібників, матеріалів на електронних носіях, серед яких навчальних видань – 400 тис. примірників, наукових – 420 тис. примірників, літературно-художніх – 27 тис. примірників.Бібліотека забезпечує доступ до світових інформаційних ресурсів, зокрема до ресурсів Elsevier (SCOPUS), Web of Science. В бібліотеці впроваджено автоматизовану бібліотечно–інформаційну систему «УФД/Бібліотека». Бібліотека здійснює бібліотечно-інформаційну підтримку освітньої та науково-дослідної діяльності університету, забезпечує культурно-просвітницьку роботу університету. (https://wp.zp.edu.ua/nauka-2/naukova-biblioteka/). За галуззю знань F Інформаційні технології бібліотечний фонд містить більше 2 тис назв видань, передплачує 9 періодичних видань. Університет підключено до Української науково-освітньої телекомунікаційної мережі URAN. Офіційний веб-сайт, на якому розміщена основна інформація про діяльність університету https://zp.edu.ua.</w:t>
            </w:r>
          </w:p>
          <w:p w:rsidR="00000000" w:rsidDel="00000000" w:rsidP="00000000" w:rsidRDefault="00000000" w:rsidRPr="00000000" w14:paraId="0000018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Сторінка на офіційному веб-сайті університету англійською мовою, на якій розміщена основна інформація про діяльність https://zp.edu.ua/zaporizhzhia-polytechnic-national-university.</w:t>
            </w:r>
          </w:p>
          <w:p w:rsidR="00000000" w:rsidDel="00000000" w:rsidP="00000000" w:rsidRDefault="00000000" w:rsidRPr="00000000" w14:paraId="00000188">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Розроблено навчально-методичне забезпечення: затверджені в установленому порядку навчальні плани, робочі програми з усіх навчальних дисциплін, програми практичної підготовки, методичні матеріали для підсумкової атестації здобувачів вищої освіти. Доступ до навчально-методичних матеріалів здійснюється через загальноуніверситетську платформу moodle.zp.edu.ua.</w:t>
            </w:r>
          </w:p>
        </w:tc>
        <w:tc>
          <w:tcPr/>
          <w:p w:rsidR="00000000" w:rsidDel="00000000" w:rsidP="00000000" w:rsidRDefault="00000000" w:rsidRPr="00000000" w14:paraId="00000189">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Scientific Library is the official scholarly and information unit of Zaporizhzhia Polytechnic National University and one of the largest university libraries in the region. The library’s holdings comprise about 900,000 items — books, abstracts, monographs, textbooks, manuals, and materials on electronic media — including 400,000 educational publications, 420,000 scholarly publications, and 27,000 works of fiction. The library provides access to global information resources, in particular Elsevier (SCOPUS) and Web of Science. The automated library and information system “UFD/Library” has been implemented. The library supports the university’s educational and research activities and contributes to its cultural and outreach work (https://wp.zp.edu.ua/nauka-2/naukova-biblioteka/). In the field of knowledge F “Information Technologies,” the collection contains more than 2,000 titles and subscribes to 9 periodicals. The university is connected to the Ukrainian Research and Academic Network (URAN). The official website, which hosts the main information about the university’s activities, is https://zp.edu.ua. The English-language page with core information is available at https://zp.edu.ua/zaporizhzhia-polytechnic-national-university.</w:t>
            </w:r>
          </w:p>
          <w:p w:rsidR="00000000" w:rsidDel="00000000" w:rsidP="00000000" w:rsidRDefault="00000000" w:rsidRPr="00000000" w14:paraId="0000018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Educational and methodological support has been developed: curricula approved in the prescribed manner, syllabi for all academic disciplines, practical training programs, and materials for the final attestation of higher education learners. Access to educational and methodological materials is provided via the university-wide platform moodle.zp.edu.ua.</w:t>
            </w:r>
          </w:p>
        </w:tc>
      </w:tr>
      <w:tr>
        <w:trPr>
          <w:cantSplit w:val="0"/>
          <w:tblHeader w:val="0"/>
        </w:trPr>
        <w:tc>
          <w:tcPr>
            <w:gridSpan w:val="2"/>
            <w:shd w:fill="bfbfbf" w:val="clear"/>
          </w:tcPr>
          <w:p w:rsidR="00000000" w:rsidDel="00000000" w:rsidP="00000000" w:rsidRDefault="00000000" w:rsidRPr="00000000" w14:paraId="0000018C">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8"/>
                <w:szCs w:val="28"/>
                <w:rtl w:val="0"/>
              </w:rPr>
              <w:t xml:space="preserve">1.9 Академічна мобільність/ Academic mobility</w:t>
            </w:r>
            <w:r w:rsidDel="00000000" w:rsidR="00000000" w:rsidRPr="00000000">
              <w:rPr>
                <w:rtl w:val="0"/>
              </w:rPr>
            </w:r>
          </w:p>
        </w:tc>
      </w:tr>
      <w:tr>
        <w:trPr>
          <w:cantSplit w:val="0"/>
          <w:tblHeader w:val="0"/>
        </w:trPr>
        <w:tc>
          <w:tcPr>
            <w:gridSpan w:val="2"/>
            <w:vAlign w:val="center"/>
          </w:tcPr>
          <w:p w:rsidR="00000000" w:rsidDel="00000000" w:rsidP="00000000" w:rsidRDefault="00000000" w:rsidRPr="00000000" w14:paraId="0000018E">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7"/>
                <w:szCs w:val="27"/>
                <w:rtl w:val="0"/>
              </w:rPr>
              <w:t xml:space="preserve">Національна кредитна мобільність / National credit mobility</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90">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Здобувачі вищої освіти мають можливість брати участь у програмі національної кредитної мобільності: навчання у закладах вищої освіти – партнерах НУ «Запорізька політехніка» в межах України – з метою здобуття кредитів Європейської кредитної трансферно-накопичувальної системи та відповідних компетентностей, результатів навчання, що будуть визнані в НУ «Запорізька політехніка». При цьому загальний період навчання для таких учасників за програмами кредитної мобільності залишається незмінним.</w:t>
            </w:r>
          </w:p>
          <w:p w:rsidR="00000000" w:rsidDel="00000000" w:rsidP="00000000" w:rsidRDefault="00000000" w:rsidRPr="00000000" w14:paraId="0000019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Кафедра системного аналізу та обчислювальної математики є ініціатором та відповідальним підрозділом при виконанні договорів про співробітництво з Національним університетом «Києво-Могилянська академія», Національним університетом «Дніпровська політехніка», Харківським національним університетом міського господарства ім. О.М. Бекетова, Чернівецьким національним університетом імені Юрія Федьковича.</w:t>
            </w:r>
          </w:p>
          <w:p w:rsidR="00000000" w:rsidDel="00000000" w:rsidP="00000000" w:rsidRDefault="00000000" w:rsidRPr="00000000" w14:paraId="0000019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Національна кредитна мобільність регламентується Положенням про порядок реалізації права на академічну мобільність учасників освітнього процесу НУ «Запорізька політехніка» </w:t>
            </w:r>
            <w:hyperlink r:id="rId16">
              <w:r w:rsidDel="00000000" w:rsidR="00000000" w:rsidRPr="00000000">
                <w:rPr>
                  <w:rFonts w:ascii="Times New Roman" w:cs="Times New Roman" w:eastAsia="Times New Roman" w:hAnsi="Times New Roman"/>
                  <w:sz w:val="24"/>
                  <w:szCs w:val="24"/>
                  <w:rtl w:val="0"/>
                </w:rPr>
                <w:t xml:space="preserve">https://zp.edu.ua/uploads/pubdocs/2022/</w:t>
              </w:r>
            </w:hyperlink>
            <w:r w:rsidDel="00000000" w:rsidR="00000000" w:rsidRPr="00000000">
              <w:rPr>
                <w:rFonts w:ascii="Times New Roman" w:cs="Times New Roman" w:eastAsia="Times New Roman" w:hAnsi="Times New Roman"/>
                <w:sz w:val="24"/>
                <w:szCs w:val="24"/>
                <w:rtl w:val="0"/>
              </w:rPr>
              <w:t xml:space="preserve">Nakaz_N210_vid_28.06.22.pdf.</w:t>
            </w:r>
          </w:p>
        </w:tc>
        <w:tc>
          <w:tcPr/>
          <w:p w:rsidR="00000000" w:rsidDel="00000000" w:rsidP="00000000" w:rsidRDefault="00000000" w:rsidRPr="00000000" w14:paraId="00000193">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Higher education students can join the national credit mobility programme to study at partner institutions within Ukraine, earn ECTS credits and relevant competencies, and have their achievements recognised by Zaporizhzhia Polytechnic National University. At the same time, the overall period of study for such participants under credit-mobility programmes remains unchanged.</w:t>
            </w:r>
          </w:p>
          <w:p w:rsidR="00000000" w:rsidDel="00000000" w:rsidP="00000000" w:rsidRDefault="00000000" w:rsidRPr="00000000" w14:paraId="00000194">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Department of System Analysis and Computational Mathematics initiates and manages cooperation agreements with the National University of Kyiv-Mohyla Academy, National University “Dnipro Polytechnic”, O.M. Beketov National University of Urban Economy in Kharkiv, and Yuriy Fedkovych Chernivtsi National University.</w:t>
            </w:r>
          </w:p>
          <w:p w:rsidR="00000000" w:rsidDel="00000000" w:rsidP="00000000" w:rsidRDefault="00000000" w:rsidRPr="00000000" w14:paraId="00000195">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National credit mobility is governed by the Regulations on the Procedure for Exercising the Right to Academic Mobility of Participants in the Educational Process of Zaporizhzhia Polytechnic National University (</w:t>
            </w:r>
            <w:hyperlink r:id="rId17">
              <w:r w:rsidDel="00000000" w:rsidR="00000000" w:rsidRPr="00000000">
                <w:rPr>
                  <w:rFonts w:ascii="Times New Roman" w:cs="Times New Roman" w:eastAsia="Times New Roman" w:hAnsi="Times New Roman"/>
                  <w:sz w:val="24"/>
                  <w:szCs w:val="24"/>
                  <w:rtl w:val="0"/>
                </w:rPr>
                <w:t xml:space="preserve">https://zp.edu.ua/uploads/pubdocs/202</w:t>
              </w:r>
            </w:hyperlink>
            <w:r w:rsidDel="00000000" w:rsidR="00000000" w:rsidRPr="00000000">
              <w:rPr>
                <w:rFonts w:ascii="Times New Roman" w:cs="Times New Roman" w:eastAsia="Times New Roman" w:hAnsi="Times New Roman"/>
                <w:sz w:val="24"/>
                <w:szCs w:val="24"/>
                <w:rtl w:val="0"/>
              </w:rPr>
              <w:t xml:space="preserve">2/Nakaz_N210_vid_28.06.22.pdf).</w:t>
            </w:r>
          </w:p>
        </w:tc>
      </w:tr>
      <w:tr>
        <w:trPr>
          <w:cantSplit w:val="0"/>
          <w:tblHeader w:val="0"/>
        </w:trPr>
        <w:tc>
          <w:tcPr>
            <w:gridSpan w:val="2"/>
            <w:vAlign w:val="center"/>
          </w:tcPr>
          <w:p w:rsidR="00000000" w:rsidDel="00000000" w:rsidP="00000000" w:rsidRDefault="00000000" w:rsidRPr="00000000" w14:paraId="00000196">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7"/>
                <w:szCs w:val="27"/>
                <w:rtl w:val="0"/>
              </w:rPr>
              <w:t xml:space="preserve">Міжнародна кредитна мобільність / International credit mobility</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99">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Здобувачі вищої освіти мають можливість брати участь у програмі міжнародної кредитної мобільності: навчання у закладах вищої освіти - партнерах поза межами України з метою здобуття кредитів Європейської кредитної трансферно-накопичувальної системи та відповідних компетентностей, результатів навчання, що будуть визнані в НУ «Запорізька політехніка». При цьому загальний період навчання для таких учасників за програмами кредитної мобільності залишається незмінним. Міжнародна кредитна мобільність регламентується Положенням про порядок реалізації права на академічну мобільність учасників освітнього процесу Національного університету «Запорізька політехніка» (zntu.edu.ua/uploads/dept_nm/Polozhenni</w:t>
            </w:r>
          </w:p>
          <w:p w:rsidR="00000000" w:rsidDel="00000000" w:rsidP="00000000" w:rsidRDefault="00000000" w:rsidRPr="00000000" w14:paraId="0000019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a_pro_akademichnu_mobilnist.pdf), а також договорами про міжнародну кредитну мобільність Національного університету «Запорізька політехніка». Національний університет «Запорізька політехніка» є учасником програми академічної мобільності Erasmus+KA1 кредитна мобільність для студентів https://zp.edu.ua/akademichna-mobilnis, https://zp.edu.ua/stypendiyi-i-granty.</w:t>
            </w:r>
          </w:p>
        </w:tc>
        <w:tc>
          <w:tcPr/>
          <w:p w:rsidR="00000000" w:rsidDel="00000000" w:rsidP="00000000" w:rsidRDefault="00000000" w:rsidRPr="00000000" w14:paraId="0000019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Higher education students can study at partner institutions abroad through the international credit mobility programme, earning ECTS credits that will be recognised by Zaporizhzhia Polytechnic National University. The overall period of study for such participants under credit-mobility programmes remains unchanged. International credit mobility is governed by the Regulations on the Procedure for Exercising the Right to Academic Mobility of Participants in the Educational Process of Zaporizhzhia Polytechnic National University (zntu.edu.ua/uploads/dept_nm/Polozhe</w:t>
            </w:r>
          </w:p>
          <w:p w:rsidR="00000000" w:rsidDel="00000000" w:rsidP="00000000" w:rsidRDefault="00000000" w:rsidRPr="00000000" w14:paraId="0000019C">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nnia_pro_akademichnu_mobilnist.pdf), as well as by the University’s international credit mobility agreements. Zaporizhzhia Polytechnic National University participates in the Erasmus+ KA1 academic mobility (credit mobility) programme for students: </w:t>
            </w:r>
            <w:hyperlink r:id="rId18">
              <w:r w:rsidDel="00000000" w:rsidR="00000000" w:rsidRPr="00000000">
                <w:rPr>
                  <w:rFonts w:ascii="Times New Roman" w:cs="Times New Roman" w:eastAsia="Times New Roman" w:hAnsi="Times New Roman"/>
                  <w:sz w:val="24"/>
                  <w:szCs w:val="24"/>
                  <w:rtl w:val="0"/>
                </w:rPr>
                <w:t xml:space="preserve">https://zp.edu.ua/akademichna-</w:t>
              </w:r>
            </w:hyperlink>
            <w:r w:rsidDel="00000000" w:rsidR="00000000" w:rsidRPr="00000000">
              <w:rPr>
                <w:rFonts w:ascii="Times New Roman" w:cs="Times New Roman" w:eastAsia="Times New Roman" w:hAnsi="Times New Roman"/>
                <w:sz w:val="24"/>
                <w:szCs w:val="24"/>
                <w:rtl w:val="0"/>
              </w:rPr>
              <w:t xml:space="preserve"> mobilnis,</w:t>
            </w:r>
          </w:p>
          <w:p w:rsidR="00000000" w:rsidDel="00000000" w:rsidP="00000000" w:rsidRDefault="00000000" w:rsidRPr="00000000" w14:paraId="0000019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hyperlink r:id="rId19">
              <w:r w:rsidDel="00000000" w:rsidR="00000000" w:rsidRPr="00000000">
                <w:rPr>
                  <w:rFonts w:ascii="Times New Roman" w:cs="Times New Roman" w:eastAsia="Times New Roman" w:hAnsi="Times New Roman"/>
                  <w:sz w:val="24"/>
                  <w:szCs w:val="24"/>
                  <w:rtl w:val="0"/>
                </w:rPr>
                <w:t xml:space="preserve">https://zp.edu.ua/stypendiyi-</w:t>
              </w:r>
            </w:hyperlink>
            <w:r w:rsidDel="00000000" w:rsidR="00000000" w:rsidRPr="00000000">
              <w:rPr>
                <w:rFonts w:ascii="Times New Roman" w:cs="Times New Roman" w:eastAsia="Times New Roman" w:hAnsi="Times New Roman"/>
                <w:sz w:val="24"/>
                <w:szCs w:val="24"/>
                <w:rtl w:val="0"/>
              </w:rPr>
              <w:t xml:space="preserve"> i-granty.</w:t>
            </w:r>
          </w:p>
        </w:tc>
      </w:tr>
      <w:tr>
        <w:trPr>
          <w:cantSplit w:val="0"/>
          <w:tblHeader w:val="0"/>
        </w:trPr>
        <w:tc>
          <w:tcPr>
            <w:gridSpan w:val="2"/>
            <w:vAlign w:val="center"/>
          </w:tcPr>
          <w:p w:rsidR="00000000" w:rsidDel="00000000" w:rsidP="00000000" w:rsidRDefault="00000000" w:rsidRPr="00000000" w14:paraId="0000019E">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19F">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Навчання іноземних здобувачів вищої освіти / Studies of International Applicants for Higher Education</w:t>
            </w:r>
          </w:p>
        </w:tc>
      </w:tr>
      <w:tr>
        <w:trPr>
          <w:cantSplit w:val="0"/>
          <w:tblHeader w:val="0"/>
        </w:trPr>
        <w:tc>
          <w:tcPr/>
          <w:p w:rsidR="00000000" w:rsidDel="00000000" w:rsidP="00000000" w:rsidRDefault="00000000" w:rsidRPr="00000000" w14:paraId="000001A1">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Університет має право здійснювати підготовку іноземних студентів. Навчання іноземних здобувачів вищої освіти регламентовано Положенням про організацію набору та навчання (стажування) іноземців та осіб без громадянства в НУ «Запорізька політехніка» </w:t>
            </w:r>
            <w:hyperlink r:id="rId20">
              <w:r w:rsidDel="00000000" w:rsidR="00000000" w:rsidRPr="00000000">
                <w:rPr>
                  <w:rFonts w:ascii="Times New Roman" w:cs="Times New Roman" w:eastAsia="Times New Roman" w:hAnsi="Times New Roman"/>
                  <w:sz w:val="24"/>
                  <w:szCs w:val="24"/>
                  <w:rtl w:val="0"/>
                </w:rPr>
                <w:t xml:space="preserve">https://zp.edu.ua/uploads/dept_inter/pol_p</w:t>
              </w:r>
            </w:hyperlink>
            <w:r w:rsidDel="00000000" w:rsidR="00000000" w:rsidRPr="00000000">
              <w:rPr>
                <w:rFonts w:ascii="Times New Roman" w:cs="Times New Roman" w:eastAsia="Times New Roman" w:hAnsi="Times New Roman"/>
                <w:sz w:val="24"/>
                <w:szCs w:val="24"/>
                <w:rtl w:val="0"/>
              </w:rPr>
              <w:t xml:space="preserve">ro_org_naboru_ta_navch_inozemtsiv.pdf</w:t>
            </w:r>
          </w:p>
        </w:tc>
        <w:tc>
          <w:tcPr/>
          <w:p w:rsidR="00000000" w:rsidDel="00000000" w:rsidP="00000000" w:rsidRDefault="00000000" w:rsidRPr="00000000" w14:paraId="000001A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University is authorised to provide training for international students. The education of international higher education students is governed by the Regulations on the Organisation of Admission and Training (Internship) of Foreigners and Stateless Persons at Zaporizhzhia Polytechnic National University:</w:t>
            </w:r>
            <w:hyperlink r:id="rId21">
              <w:r w:rsidDel="00000000" w:rsidR="00000000" w:rsidRPr="00000000">
                <w:rPr>
                  <w:rFonts w:ascii="Times New Roman" w:cs="Times New Roman" w:eastAsia="Times New Roman" w:hAnsi="Times New Roman"/>
                  <w:sz w:val="24"/>
                  <w:szCs w:val="24"/>
                  <w:rtl w:val="0"/>
                </w:rPr>
                <w:t xml:space="preserve">https://zp.edu.ua/uploads/dept_inter/pol</w:t>
              </w:r>
            </w:hyperlink>
            <w:r w:rsidDel="00000000" w:rsidR="00000000" w:rsidRPr="00000000">
              <w:rPr>
                <w:rFonts w:ascii="Times New Roman" w:cs="Times New Roman" w:eastAsia="Times New Roman" w:hAnsi="Times New Roman"/>
                <w:sz w:val="24"/>
                <w:szCs w:val="24"/>
                <w:rtl w:val="0"/>
              </w:rPr>
              <w:t xml:space="preserve">_pro_org_naboru_ta_navch_inozemtsiv.pdf.</w:t>
            </w:r>
          </w:p>
        </w:tc>
      </w:tr>
    </w:tbl>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8"/>
          <w:szCs w:val="28"/>
        </w:rPr>
      </w:pPr>
      <w:bookmarkStart w:colFirst="0" w:colLast="0" w:name="_heading=h.1fob9te" w:id="3"/>
      <w:bookmarkEnd w:id="3"/>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60" w:before="60" w:lineRule="auto"/>
        <w:jc w:val="center"/>
        <w:rPr>
          <w:b w:val="1"/>
          <w:sz w:val="22"/>
          <w:szCs w:val="22"/>
        </w:rPr>
      </w:pPr>
      <w:r w:rsidDel="00000000" w:rsidR="00000000" w:rsidRPr="00000000">
        <w:rPr>
          <w:rFonts w:ascii="Times New Roman" w:cs="Times New Roman" w:eastAsia="Times New Roman" w:hAnsi="Times New Roman"/>
          <w:b w:val="1"/>
          <w:sz w:val="28"/>
          <w:szCs w:val="28"/>
          <w:rtl w:val="0"/>
        </w:rPr>
        <w:t xml:space="preserve">2. ПЕРЕЛІК ОСВІТНІХ КОМПОНЕНТІВ, ЇХ ЛОГІЧНА ПОСЛІДОВНІСТЬ / LIST OF EDUCATIONAL COMPONENTS AND THEIR LOGICAL SEQUENCE</w:t>
      </w: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Перелік освітніх компонентів / Components of educational programme</w:t>
      </w:r>
    </w:p>
    <w:tbl>
      <w:tblPr>
        <w:tblStyle w:val="Table9"/>
        <w:tblW w:w="10207.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3"/>
        <w:gridCol w:w="5670"/>
        <w:gridCol w:w="1417"/>
        <w:gridCol w:w="2127"/>
        <w:tblGridChange w:id="0">
          <w:tblGrid>
            <w:gridCol w:w="993"/>
            <w:gridCol w:w="5670"/>
            <w:gridCol w:w="1417"/>
            <w:gridCol w:w="2127"/>
          </w:tblGrid>
        </w:tblGridChange>
      </w:tblGrid>
      <w:tr>
        <w:trPr>
          <w:cantSplit w:val="0"/>
          <w:tblHeader w:val="0"/>
        </w:trPr>
        <w:tc>
          <w:tcPr>
            <w:vAlign w:val="center"/>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 Code о/к</w:t>
            </w:r>
          </w:p>
        </w:tc>
        <w:tc>
          <w:tcPr>
            <w:vAlign w:val="center"/>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Освітні компоненти (навчальні дисципліни, курсові проекти (роботи), практики, кваліфікаційна робота тощо) / Educational components of the EPP/ESP (academic disciplines, course projects (papers), internships, qualification work, etc.)</w:t>
            </w:r>
          </w:p>
        </w:tc>
        <w:tc>
          <w:tcPr>
            <w:vAlign w:val="center"/>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Кількість Кредитів ЄКТС / Number of ECTS credits</w:t>
            </w:r>
          </w:p>
        </w:tc>
        <w:tc>
          <w:tcPr>
            <w:vAlign w:val="center"/>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підсумкового контролю / Final control form</w:t>
            </w:r>
          </w:p>
        </w:tc>
      </w:tr>
      <w:tr>
        <w:trPr>
          <w:cantSplit w:val="0"/>
          <w:tblHeader w:val="0"/>
        </w:trPr>
        <w:tc>
          <w:tcPr>
            <w:vAlign w:val="center"/>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Align w:val="center"/>
          </w:tcPr>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blHeader w:val="0"/>
        </w:trPr>
        <w:tc>
          <w:tcPr>
            <w:gridSpan w:val="4"/>
            <w:vAlign w:val="center"/>
          </w:tcPr>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Обов’язкові освітні компоненти / Compulsory educational components of the educational and professional program</w:t>
            </w:r>
          </w:p>
        </w:tc>
      </w:tr>
      <w:tr>
        <w:trPr>
          <w:cantSplit w:val="0"/>
          <w:tblHeader w:val="0"/>
        </w:trPr>
        <w:tc>
          <w:tcPr>
            <w:vAlign w:val="center"/>
          </w:tcPr>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 01</w:t>
            </w:r>
          </w:p>
        </w:tc>
        <w:tc>
          <w:tcPr>
            <w:vAlign w:val="center"/>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Інформаційний маркетинг та менеджмент / Information Marketing and Management</w:t>
            </w:r>
          </w:p>
        </w:tc>
        <w:tc>
          <w:tcPr>
            <w:vAlign w:val="center"/>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vAlign w:val="center"/>
          </w:tcPr>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Залік / Final test</w:t>
            </w:r>
          </w:p>
        </w:tc>
      </w:tr>
      <w:tr>
        <w:trPr>
          <w:cantSplit w:val="0"/>
          <w:tblHeader w:val="0"/>
        </w:trPr>
        <w:tc>
          <w:tcPr>
            <w:vAlign w:val="center"/>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 02</w:t>
            </w:r>
          </w:p>
        </w:tc>
        <w:tc>
          <w:tcPr>
            <w:vAlign w:val="center"/>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Методологія та організація наукових досліджень / Methodology and Organization of Scientific Research</w:t>
            </w:r>
          </w:p>
        </w:tc>
        <w:tc>
          <w:tcPr>
            <w:vAlign w:val="center"/>
          </w:tcPr>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vAlign w:val="center"/>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Залік / Final test</w:t>
            </w:r>
          </w:p>
        </w:tc>
      </w:tr>
      <w:tr>
        <w:trPr>
          <w:cantSplit w:val="0"/>
          <w:tblHeader w:val="0"/>
        </w:trPr>
        <w:tc>
          <w:tcPr>
            <w:vAlign w:val="center"/>
          </w:tcPr>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 03</w:t>
            </w:r>
          </w:p>
        </w:tc>
        <w:tc>
          <w:tcPr>
            <w:vAlign w:val="center"/>
          </w:tcPr>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 та інструменти системного аналізу / Methods and Tools of Systems Analysis</w:t>
            </w:r>
          </w:p>
        </w:tc>
        <w:tc>
          <w:tcPr>
            <w:vAlign w:val="center"/>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Екзамен / Exam</w:t>
            </w:r>
          </w:p>
        </w:tc>
      </w:tr>
      <w:tr>
        <w:trPr>
          <w:cantSplit w:val="0"/>
          <w:tblHeader w:val="0"/>
        </w:trPr>
        <w:tc>
          <w:tcPr>
            <w:vAlign w:val="center"/>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 04</w:t>
            </w:r>
          </w:p>
        </w:tc>
        <w:tc>
          <w:tcPr>
            <w:vAlign w:val="center"/>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Теорія управління і прогнозування в складних системах / Control Theory and Forecasting in Complex Systems</w:t>
            </w:r>
          </w:p>
        </w:tc>
        <w:tc>
          <w:tcPr>
            <w:vAlign w:val="center"/>
          </w:tcPr>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w:t>
            </w:r>
          </w:p>
        </w:tc>
        <w:tc>
          <w:tcPr>
            <w:vAlign w:val="center"/>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Залік / Final test</w:t>
            </w:r>
          </w:p>
        </w:tc>
      </w:tr>
      <w:tr>
        <w:trPr>
          <w:cantSplit w:val="0"/>
          <w:tblHeader w:val="0"/>
        </w:trPr>
        <w:tc>
          <w:tcPr>
            <w:vAlign w:val="center"/>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 05</w:t>
            </w:r>
          </w:p>
        </w:tc>
        <w:tc>
          <w:tcPr>
            <w:vAlign w:val="center"/>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Іноземна мова професійного спілкування / Українська мова (для іноземців) / Foreign Language for Professional Communication / Ukrainian Language (for International Students)</w:t>
            </w:r>
          </w:p>
        </w:tc>
        <w:tc>
          <w:tcPr>
            <w:vAlign w:val="center"/>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Залік / Final test</w:t>
            </w:r>
          </w:p>
        </w:tc>
      </w:tr>
      <w:tr>
        <w:trPr>
          <w:cantSplit w:val="0"/>
          <w:tblHeader w:val="0"/>
        </w:trPr>
        <w:tc>
          <w:tcPr>
            <w:vAlign w:val="center"/>
          </w:tcPr>
          <w:p w:rsidR="00000000" w:rsidDel="00000000" w:rsidP="00000000" w:rsidRDefault="00000000" w:rsidRPr="00000000" w14:paraId="000001C6">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 06</w:t>
            </w:r>
          </w:p>
        </w:tc>
        <w:tc>
          <w:tcPr>
            <w:vAlign w:val="center"/>
          </w:tcPr>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Інтелектуальні системи підтримки прийняття рішень / Intelligent Decision Support Systems</w:t>
            </w:r>
          </w:p>
        </w:tc>
        <w:tc>
          <w:tcPr>
            <w:vAlign w:val="center"/>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4,5-4,5</w:t>
            </w:r>
          </w:p>
        </w:tc>
        <w:tc>
          <w:tcPr>
            <w:vAlign w:val="center"/>
          </w:tcPr>
          <w:p w:rsidR="00000000" w:rsidDel="00000000" w:rsidP="00000000" w:rsidRDefault="00000000" w:rsidRPr="00000000" w14:paraId="000001C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sdt>
              <w:sdtPr>
                <w:id w:val="296318411"/>
                <w:tag w:val="goog_rdk_0"/>
              </w:sdtPr>
              <w:sdtContent>
                <w:r w:rsidDel="00000000" w:rsidR="00000000" w:rsidRPr="00000000">
                  <w:rPr>
                    <w:rFonts w:ascii="Gungsuh" w:cs="Gungsuh" w:eastAsia="Gungsuh" w:hAnsi="Gungsuh"/>
                    <w:sz w:val="24"/>
                    <w:szCs w:val="24"/>
                    <w:rtl w:val="0"/>
                  </w:rPr>
                  <w:t xml:space="preserve">1 м. − залік,</w:t>
                </w:r>
              </w:sdtContent>
            </w:sdt>
          </w:p>
          <w:p w:rsidR="00000000" w:rsidDel="00000000" w:rsidP="00000000" w:rsidRDefault="00000000" w:rsidRPr="00000000" w14:paraId="000001C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sdt>
              <w:sdtPr>
                <w:id w:val="-2126339640"/>
                <w:tag w:val="goog_rdk_1"/>
              </w:sdtPr>
              <w:sdtContent>
                <w:r w:rsidDel="00000000" w:rsidR="00000000" w:rsidRPr="00000000">
                  <w:rPr>
                    <w:rFonts w:ascii="Gungsuh" w:cs="Gungsuh" w:eastAsia="Gungsuh" w:hAnsi="Gungsuh"/>
                    <w:sz w:val="24"/>
                    <w:szCs w:val="24"/>
                    <w:rtl w:val="0"/>
                  </w:rPr>
                  <w:t xml:space="preserve">2 м. −екзамен /</w:t>
                </w:r>
              </w:sdtContent>
            </w:sdt>
          </w:p>
          <w:p w:rsidR="00000000" w:rsidDel="00000000" w:rsidP="00000000" w:rsidRDefault="00000000" w:rsidRPr="00000000" w14:paraId="000001CB">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sdt>
              <w:sdtPr>
                <w:id w:val="-1335373120"/>
                <w:tag w:val="goog_rdk_2"/>
              </w:sdtPr>
              <w:sdtContent>
                <w:r w:rsidDel="00000000" w:rsidR="00000000" w:rsidRPr="00000000">
                  <w:rPr>
                    <w:rFonts w:ascii="Gungsuh" w:cs="Gungsuh" w:eastAsia="Gungsuh" w:hAnsi="Gungsuh"/>
                    <w:sz w:val="24"/>
                    <w:szCs w:val="24"/>
                    <w:rtl w:val="0"/>
                  </w:rPr>
                  <w:t xml:space="preserve">1 m. − final test,</w:t>
                </w:r>
              </w:sdtContent>
            </w:sdt>
          </w:p>
          <w:p w:rsidR="00000000" w:rsidDel="00000000" w:rsidP="00000000" w:rsidRDefault="00000000" w:rsidRPr="00000000" w14:paraId="000001CC">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sdt>
              <w:sdtPr>
                <w:id w:val="1625805657"/>
                <w:tag w:val="goog_rdk_3"/>
              </w:sdtPr>
              <w:sdtContent>
                <w:r w:rsidDel="00000000" w:rsidR="00000000" w:rsidRPr="00000000">
                  <w:rPr>
                    <w:rFonts w:ascii="Gungsuh" w:cs="Gungsuh" w:eastAsia="Gungsuh" w:hAnsi="Gungsuh"/>
                    <w:sz w:val="24"/>
                    <w:szCs w:val="24"/>
                    <w:rtl w:val="0"/>
                  </w:rPr>
                  <w:t xml:space="preserve">2 m. − exam</w:t>
                </w:r>
              </w:sdtContent>
            </w:sdt>
          </w:p>
        </w:tc>
      </w:tr>
      <w:tr>
        <w:trPr>
          <w:cantSplit w:val="0"/>
          <w:tblHeader w:val="0"/>
        </w:trPr>
        <w:tc>
          <w:tcPr>
            <w:vAlign w:val="center"/>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 07</w:t>
            </w:r>
          </w:p>
        </w:tc>
        <w:tc>
          <w:tcPr>
            <w:vAlign w:val="center"/>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Курсовий проєкт «Інтелектуальні технології та прийняття рішень в складних системах» / Course Project “Intelligent Technologies and Decision-Making in Complex Systems”</w:t>
            </w:r>
          </w:p>
        </w:tc>
        <w:tc>
          <w:tcPr>
            <w:vAlign w:val="center"/>
          </w:tcPr>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Диф. залік / Graded credit</w:t>
            </w:r>
          </w:p>
        </w:tc>
      </w:tr>
      <w:tr>
        <w:trPr>
          <w:cantSplit w:val="0"/>
          <w:tblHeader w:val="0"/>
        </w:trPr>
        <w:tc>
          <w:tcPr>
            <w:vAlign w:val="center"/>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 08</w:t>
            </w:r>
          </w:p>
        </w:tc>
        <w:tc>
          <w:tcPr>
            <w:vAlign w:val="center"/>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Аналіз часових рядів / Time Series Analysis</w:t>
            </w:r>
          </w:p>
        </w:tc>
        <w:tc>
          <w:tcPr>
            <w:vAlign w:val="center"/>
          </w:tcPr>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Екзамен / Exam</w:t>
            </w:r>
          </w:p>
        </w:tc>
      </w:tr>
      <w:tr>
        <w:trPr>
          <w:cantSplit w:val="0"/>
          <w:tblHeader w:val="0"/>
        </w:trPr>
        <w:tc>
          <w:tcPr>
            <w:vAlign w:val="center"/>
          </w:tcPr>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 09</w:t>
            </w:r>
          </w:p>
        </w:tc>
        <w:tc>
          <w:tcPr>
            <w:vAlign w:val="center"/>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Глибинне навчання в задачах обробки даних / Deep Learning for Data Processing</w:t>
            </w:r>
          </w:p>
        </w:tc>
        <w:tc>
          <w:tcPr>
            <w:vAlign w:val="center"/>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w:t>
            </w:r>
          </w:p>
        </w:tc>
        <w:tc>
          <w:tcPr>
            <w:vAlign w:val="center"/>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Залік / Final test</w:t>
            </w:r>
          </w:p>
        </w:tc>
      </w:tr>
      <w:tr>
        <w:trPr>
          <w:cantSplit w:val="0"/>
          <w:tblHeader w:val="0"/>
        </w:trPr>
        <w:tc>
          <w:tcPr>
            <w:vAlign w:val="center"/>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 10</w:t>
            </w:r>
          </w:p>
        </w:tc>
        <w:tc>
          <w:tcPr>
            <w:vAlign w:val="center"/>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Кваліфікаційна робота (дипломування) / Qualification Thesis</w:t>
            </w:r>
          </w:p>
        </w:tc>
        <w:tc>
          <w:tcPr>
            <w:vAlign w:val="center"/>
          </w:tcPr>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18,0</w:t>
            </w:r>
          </w:p>
        </w:tc>
        <w:tc>
          <w:tcPr>
            <w:vAlign w:val="center"/>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Атестація/  Attestation</w:t>
            </w:r>
          </w:p>
        </w:tc>
      </w:tr>
      <w:tr>
        <w:trPr>
          <w:cantSplit w:val="0"/>
          <w:tblHeader w:val="0"/>
        </w:trPr>
        <w:tc>
          <w:tcPr>
            <w:vAlign w:val="center"/>
          </w:tcPr>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 11</w:t>
            </w:r>
          </w:p>
        </w:tc>
        <w:tc>
          <w:tcPr>
            <w:vAlign w:val="center"/>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Переддипломна практика / Pre-graduation Internship</w:t>
            </w:r>
          </w:p>
        </w:tc>
        <w:tc>
          <w:tcPr>
            <w:vAlign w:val="center"/>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w:t>
            </w:r>
          </w:p>
        </w:tc>
        <w:tc>
          <w:tcPr>
            <w:vAlign w:val="center"/>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Диф. залік / Graded credit</w:t>
            </w:r>
          </w:p>
        </w:tc>
      </w:tr>
      <w:tr>
        <w:trPr>
          <w:cantSplit w:val="0"/>
          <w:tblHeader w:val="0"/>
        </w:trPr>
        <w:tc>
          <w:tcPr>
            <w:gridSpan w:val="2"/>
          </w:tcPr>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Загальний обсяг обов’язкових освітніх компонентів / Total number of compulsory educational components</w:t>
            </w:r>
          </w:p>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66</w:t>
            </w:r>
          </w:p>
        </w:tc>
      </w:tr>
      <w:tr>
        <w:trPr>
          <w:cantSplit w:val="0"/>
          <w:tblHeader w:val="0"/>
        </w:trPr>
        <w:tc>
          <w:tcPr>
            <w:gridSpan w:val="4"/>
            <w:vAlign w:val="center"/>
          </w:tcPr>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Вибіркові освітні компоненти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Elective educational components</w:t>
            </w:r>
          </w:p>
        </w:tc>
      </w:tr>
      <w:tr>
        <w:trPr>
          <w:cantSplit w:val="0"/>
          <w:tblHeader w:val="0"/>
        </w:trPr>
        <w:tc>
          <w:tcPr>
            <w:vAlign w:val="center"/>
          </w:tcPr>
          <w:p w:rsidR="00000000" w:rsidDel="00000000" w:rsidP="00000000" w:rsidRDefault="00000000" w:rsidRPr="00000000" w14:paraId="000001EB">
            <w:pPr>
              <w:spacing w:after="60" w:before="6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vAlign w:val="center"/>
          </w:tcPr>
          <w:p w:rsidR="00000000" w:rsidDel="00000000" w:rsidP="00000000" w:rsidRDefault="00000000" w:rsidRPr="00000000" w14:paraId="000001EC">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1ED">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1EE">
            <w:pPr>
              <w:spacing w:after="60"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blHeader w:val="0"/>
        </w:trPr>
        <w:tc>
          <w:tcPr/>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Дисципліни з кафедрального та факультетського (галузевого) переліку для освітніх програм</w:t>
            </w:r>
            <w:r w:rsidDel="00000000" w:rsidR="00000000" w:rsidRPr="00000000">
              <w:rPr>
                <w:rFonts w:ascii="Times New Roman" w:cs="Times New Roman" w:eastAsia="Times New Roman" w:hAnsi="Times New Roman"/>
                <w:sz w:val="24"/>
                <w:szCs w:val="24"/>
                <w:shd w:fill="ff9900" w:val="clear"/>
                <w:rtl w:val="0"/>
              </w:rPr>
              <w:t xml:space="preserve"> другого</w:t>
            </w:r>
            <w:r w:rsidDel="00000000" w:rsidR="00000000" w:rsidRPr="00000000">
              <w:rPr>
                <w:rFonts w:ascii="Times New Roman" w:cs="Times New Roman" w:eastAsia="Times New Roman" w:hAnsi="Times New Roman"/>
                <w:sz w:val="24"/>
                <w:szCs w:val="24"/>
                <w:rtl w:val="0"/>
              </w:rPr>
              <w:t xml:space="preserve"> рівня вищої освіти / Courses from the departmental and faculty (field-specific) list for </w:t>
            </w:r>
            <w:r w:rsidDel="00000000" w:rsidR="00000000" w:rsidRPr="00000000">
              <w:rPr>
                <w:rFonts w:ascii="Times New Roman" w:cs="Times New Roman" w:eastAsia="Times New Roman" w:hAnsi="Times New Roman"/>
                <w:sz w:val="24"/>
                <w:szCs w:val="24"/>
                <w:shd w:fill="ff9900" w:val="clear"/>
                <w:rtl w:val="0"/>
              </w:rPr>
              <w:t xml:space="preserve">second</w:t>
            </w:r>
            <w:r w:rsidDel="00000000" w:rsidR="00000000" w:rsidRPr="00000000">
              <w:rPr>
                <w:rFonts w:ascii="Times New Roman" w:cs="Times New Roman" w:eastAsia="Times New Roman" w:hAnsi="Times New Roman"/>
                <w:sz w:val="24"/>
                <w:szCs w:val="24"/>
                <w:rtl w:val="0"/>
              </w:rPr>
              <w:t xml:space="preserve">-level higher education programs</w:t>
            </w:r>
          </w:p>
        </w:tc>
        <w:tc>
          <w:tcPr>
            <w:vAlign w:val="center"/>
          </w:tcPr>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vAlign w:val="center"/>
          </w:tcPr>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Залік / Final test</w:t>
            </w:r>
          </w:p>
        </w:tc>
      </w:tr>
      <w:tr>
        <w:trPr>
          <w:cantSplit w:val="0"/>
          <w:tblHeader w:val="0"/>
        </w:trPr>
        <w:tc>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Дисципліни із загальноуніверситетського переліку для освітніх програм освітніх програм </w:t>
            </w:r>
            <w:r w:rsidDel="00000000" w:rsidR="00000000" w:rsidRPr="00000000">
              <w:rPr>
                <w:rFonts w:ascii="Times New Roman" w:cs="Times New Roman" w:eastAsia="Times New Roman" w:hAnsi="Times New Roman"/>
                <w:sz w:val="24"/>
                <w:szCs w:val="24"/>
                <w:shd w:fill="ff9900" w:val="clear"/>
                <w:rtl w:val="0"/>
              </w:rPr>
              <w:t xml:space="preserve">другого</w:t>
            </w:r>
            <w:r w:rsidDel="00000000" w:rsidR="00000000" w:rsidRPr="00000000">
              <w:rPr>
                <w:rFonts w:ascii="Times New Roman" w:cs="Times New Roman" w:eastAsia="Times New Roman" w:hAnsi="Times New Roman"/>
                <w:sz w:val="24"/>
                <w:szCs w:val="24"/>
                <w:rtl w:val="0"/>
              </w:rPr>
              <w:t xml:space="preserve"> рівня вищої освіти /  Courses from the university-wide list for</w:t>
            </w:r>
            <w:r w:rsidDel="00000000" w:rsidR="00000000" w:rsidRPr="00000000">
              <w:rPr>
                <w:rFonts w:ascii="Times New Roman" w:cs="Times New Roman" w:eastAsia="Times New Roman" w:hAnsi="Times New Roman"/>
                <w:sz w:val="24"/>
                <w:szCs w:val="24"/>
                <w:shd w:fill="ff9900" w:val="clear"/>
                <w:rtl w:val="0"/>
              </w:rPr>
              <w:t xml:space="preserve"> second</w:t>
            </w:r>
            <w:r w:rsidDel="00000000" w:rsidR="00000000" w:rsidRPr="00000000">
              <w:rPr>
                <w:rFonts w:ascii="Times New Roman" w:cs="Times New Roman" w:eastAsia="Times New Roman" w:hAnsi="Times New Roman"/>
                <w:sz w:val="24"/>
                <w:szCs w:val="24"/>
                <w:rtl w:val="0"/>
              </w:rPr>
              <w:t xml:space="preserve">-level higher education programs</w:t>
            </w:r>
          </w:p>
        </w:tc>
        <w:tc>
          <w:tcPr>
            <w:vAlign w:val="center"/>
          </w:tcPr>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vAlign w:val="center"/>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Залік / Final test</w:t>
            </w:r>
          </w:p>
        </w:tc>
      </w:tr>
      <w:tr>
        <w:trPr>
          <w:cantSplit w:val="0"/>
          <w:tblHeader w:val="0"/>
        </w:trPr>
        <w:tc>
          <w:tcPr>
            <w:vAlign w:val="center"/>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 Code о/к</w:t>
            </w:r>
          </w:p>
        </w:tc>
        <w:tc>
          <w:tcPr>
            <w:vAlign w:val="center"/>
          </w:tcPr>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Освітні компоненти (навчальні дисципліни, курсові проєкти (роботи), практики, кваліфікаційна робота тощо) / Educational components of the EPP/ESP (academic disciplines, course projects (papers), internships, qualification work, etc.)</w:t>
            </w:r>
          </w:p>
        </w:tc>
        <w:tc>
          <w:tcPr>
            <w:vAlign w:val="center"/>
          </w:tcPr>
          <w:p w:rsidR="00000000" w:rsidDel="00000000" w:rsidP="00000000" w:rsidRDefault="00000000" w:rsidRPr="00000000" w14:paraId="000001F9">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Кількість Кредитів ЄКТС / Number of ECTS credits</w:t>
            </w:r>
          </w:p>
        </w:tc>
        <w:tc>
          <w:tcPr>
            <w:vAlign w:val="center"/>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підсумкового контролю / Final control form</w:t>
            </w:r>
          </w:p>
        </w:tc>
      </w:tr>
      <w:tr>
        <w:trPr>
          <w:cantSplit w:val="0"/>
          <w:tblHeader w:val="0"/>
        </w:trPr>
        <w:tc>
          <w:tcPr>
            <w:gridSpan w:val="2"/>
          </w:tcPr>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Загальний обсяг вибіркових освітніх компонентів / Total volume of elective educational components</w:t>
            </w:r>
          </w:p>
        </w:tc>
        <w:tc>
          <w:tcPr>
            <w:gridSpan w:val="2"/>
            <w:vAlign w:val="center"/>
          </w:tcPr>
          <w:p w:rsidR="00000000" w:rsidDel="00000000" w:rsidP="00000000" w:rsidRDefault="00000000" w:rsidRPr="00000000" w14:paraId="000001FD">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24</w:t>
            </w:r>
          </w:p>
        </w:tc>
      </w:tr>
      <w:tr>
        <w:trPr>
          <w:cantSplit w:val="0"/>
          <w:tblHeader w:val="0"/>
        </w:trPr>
        <w:tc>
          <w:tcPr>
            <w:gridSpan w:val="2"/>
          </w:tcPr>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Загальний обсяг ОПП / Total volume of the EPP</w:t>
            </w:r>
          </w:p>
        </w:tc>
        <w:tc>
          <w:tcPr>
            <w:gridSpan w:val="2"/>
            <w:vAlign w:val="center"/>
          </w:tcPr>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90</w:t>
            </w:r>
          </w:p>
        </w:tc>
      </w:tr>
    </w:tbl>
    <w:p w:rsidR="00000000" w:rsidDel="00000000" w:rsidP="00000000" w:rsidRDefault="00000000" w:rsidRPr="00000000" w14:paraId="00000203">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8"/>
          <w:szCs w:val="28"/>
        </w:rPr>
        <w:sectPr>
          <w:headerReference r:id="rId22" w:type="default"/>
          <w:footerReference r:id="rId23" w:type="default"/>
          <w:footerReference r:id="rId24" w:type="first"/>
          <w:type w:val="nextPage"/>
          <w:pgSz w:h="16838" w:w="11906" w:orient="portrait"/>
          <w:pgMar w:bottom="851" w:top="709" w:left="1134" w:right="1134" w:header="567" w:footer="0"/>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8"/>
          <w:szCs w:val="28"/>
        </w:rPr>
      </w:pPr>
      <w:bookmarkStart w:colFirst="0" w:colLast="0" w:name="_heading=h.l99ek2umlbvr" w:id="4"/>
      <w:bookmarkEnd w:id="4"/>
      <w:r w:rsidDel="00000000" w:rsidR="00000000" w:rsidRPr="00000000">
        <w:rPr>
          <w:rFonts w:ascii="Times New Roman" w:cs="Times New Roman" w:eastAsia="Times New Roman" w:hAnsi="Times New Roman"/>
          <w:b w:val="1"/>
          <w:sz w:val="28"/>
          <w:szCs w:val="28"/>
          <w:rtl w:val="0"/>
        </w:rPr>
        <w:t xml:space="preserve">2.2 Структурно-логічна схема освітньої програми / Structural and logical scheme of the educational program</w:t>
      </w:r>
    </w:p>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08">
      <w:pPr>
        <w:rPr>
          <w:rFonts w:ascii="Calibri" w:cs="Calibri" w:eastAsia="Calibri" w:hAnsi="Calibri"/>
        </w:rPr>
        <w:sectPr>
          <w:type w:val="nextPage"/>
          <w:pgSz w:h="11906" w:w="16838" w:orient="landscape"/>
          <w:pgMar w:bottom="851" w:top="1418" w:left="1134" w:right="1134" w:header="720" w:footer="709"/>
        </w:sectPr>
      </w:pPr>
      <w:r w:rsidDel="00000000" w:rsidR="00000000" w:rsidRPr="00000000">
        <w:rPr>
          <w:rFonts w:ascii="Calibri" w:cs="Calibri" w:eastAsia="Calibri" w:hAnsi="Calibri"/>
        </w:rPr>
        <w:drawing>
          <wp:inline distB="0" distT="0" distL="0" distR="0">
            <wp:extent cx="9241208" cy="4502811"/>
            <wp:effectExtent b="0" l="0" r="0" t="0"/>
            <wp:docPr id="48"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9241208" cy="4502811"/>
                    </a:xfrm>
                    <a:prstGeom prst="rect"/>
                    <a:ln/>
                  </pic:spPr>
                </pic:pic>
              </a:graphicData>
            </a:graphic>
          </wp:inline>
        </w:drawing>
      </w:r>
      <w:r w:rsidDel="00000000" w:rsidR="00000000" w:rsidRPr="00000000">
        <w:rPr>
          <w:rtl w:val="0"/>
        </w:rPr>
      </w:r>
    </w:p>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8"/>
          <w:szCs w:val="28"/>
          <w:rtl w:val="0"/>
        </w:rPr>
        <w:t xml:space="preserve">3 ФОРМА АТЕСТАЦІЇ ЗДОБУВАЧІВ ВИЩОЇ ОСВІТИ / THE FORM OF ATTESTATION FOR DEGREE PURSUERS</w:t>
      </w:r>
      <w:r w:rsidDel="00000000" w:rsidR="00000000" w:rsidRPr="00000000">
        <w:rPr>
          <w:rtl w:val="0"/>
        </w:rPr>
      </w:r>
    </w:p>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8"/>
          <w:szCs w:val="28"/>
        </w:rPr>
      </w:pPr>
      <w:r w:rsidDel="00000000" w:rsidR="00000000" w:rsidRPr="00000000">
        <w:rPr>
          <w:rtl w:val="0"/>
        </w:rPr>
      </w:r>
    </w:p>
    <w:tbl>
      <w:tblPr>
        <w:tblStyle w:val="Table10"/>
        <w:tblW w:w="9894.0" w:type="dxa"/>
        <w:jc w:val="left"/>
        <w:tblInd w:w="-226.0" w:type="dxa"/>
        <w:tblLayout w:type="fixed"/>
        <w:tblLook w:val="0000"/>
      </w:tblPr>
      <w:tblGrid>
        <w:gridCol w:w="2807"/>
        <w:gridCol w:w="7087"/>
        <w:tblGridChange w:id="0">
          <w:tblGrid>
            <w:gridCol w:w="2807"/>
            <w:gridCol w:w="7087"/>
          </w:tblGrid>
        </w:tblGridChange>
      </w:tblGrid>
      <w:tr>
        <w:trPr>
          <w:cantSplit w:val="0"/>
          <w:tblHeader w:val="0"/>
        </w:trPr>
        <w:tc>
          <w:tcPr>
            <w:tcBorders>
              <w:top w:color="000000" w:space="0" w:sz="4" w:val="single"/>
              <w:left w:color="000000" w:space="0" w:sz="4" w:val="single"/>
              <w:bottom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Форми атестації здобувачів вищої освіти / Forms of attestation of higher education students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Атестація здійснюється у формі публічного захисту кваліфікаційної роботи. / Attestation is conducted in the form of a public defense of the qualification work (master’s thesis).</w:t>
            </w:r>
          </w:p>
        </w:tc>
      </w:tr>
      <w:tr>
        <w:trPr>
          <w:cantSplit w:val="0"/>
          <w:tblHeader w:val="0"/>
        </w:trPr>
        <w:tc>
          <w:tcPr>
            <w:tcBorders>
              <w:top w:color="000000" w:space="0" w:sz="4" w:val="single"/>
              <w:left w:color="000000" w:space="0" w:sz="4" w:val="single"/>
              <w:bottom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0D">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Вимоги до кваліфікаційної роботи / Requirements for the qualification work</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0E">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Кваліфікаційна робота повинна передбачати розв’язання складної задачі дослідницького та/або інноваційного характеру у сфері системного аналізу.</w:t>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Кваліфікаційна робота не повинна містити академічного плагіату, фабрикації, фальсифікації. </w:t>
            </w:r>
          </w:p>
          <w:p w:rsidR="00000000" w:rsidDel="00000000" w:rsidP="00000000" w:rsidRDefault="00000000" w:rsidRPr="00000000" w14:paraId="00000210">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Кваліфікаційна робота має бути оприлюднена шляхом розміщення  в репозиторії НУ «Запорізька політехніка».</w:t>
            </w:r>
          </w:p>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Оприлюднення кваліфікаційних робіт, що містять інформацію з обмеженим доступом, здійснювати відповідно до вимог законодавства.</w:t>
            </w:r>
          </w:p>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Qualification work must involve solving a complex research or innovative problem in the field of system analysis.</w:t>
            </w:r>
          </w:p>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Qualification work must not contain academic plagiarism, fabrication, or falsification.</w:t>
            </w:r>
          </w:p>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qualification work must be made public by placing it in the repository of Zaporizhzhia Polytechnic National University.</w:t>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bookmarkStart w:colFirst="0" w:colLast="0" w:name="_heading=h.yacd09v2uzrp" w:id="5"/>
            <w:bookmarkEnd w:id="5"/>
            <w:r w:rsidDel="00000000" w:rsidR="00000000" w:rsidRPr="00000000">
              <w:rPr>
                <w:rFonts w:ascii="Times New Roman" w:cs="Times New Roman" w:eastAsia="Times New Roman" w:hAnsi="Times New Roman"/>
                <w:sz w:val="24"/>
                <w:szCs w:val="24"/>
                <w:rtl w:val="0"/>
              </w:rPr>
              <w:t xml:space="preserve">The publication of qualification works containing restricted-access information shall be carried out in accordance with legal requirements. </w:t>
            </w:r>
          </w:p>
        </w:tc>
      </w:tr>
      <w:tr>
        <w:trPr>
          <w:cantSplit w:val="0"/>
          <w:tblHeader w:val="0"/>
        </w:trPr>
        <w:tc>
          <w:tcPr>
            <w:tcBorders>
              <w:top w:color="000000" w:space="0" w:sz="4" w:val="single"/>
              <w:left w:color="000000" w:space="0" w:sz="4" w:val="single"/>
              <w:bottom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16">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Документ, що видається на основі успішного проходження атестації / Document issued upon successful completion of the attestation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НУ «Запорізька політехніка» на підставі рішення екзаменаційної комісії присуджує особі, яка продемонструвала відповідність результатів навчання вимогам ОПП «Інтелектуальні технології та прийняття рішень в складних системах», освітній ступінь магістра та видає диплом магістра.</w:t>
            </w:r>
          </w:p>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the decision of the examination committee, Zaporizhzhia Polytechnic National University awards the master’s degree and issues a master’s diploma to a person who has demonstrated that their learning outcomes meet the requirements of the Educational and Professional Program “Intelligent Technologies and Decision-Making in Complex Systems.”</w:t>
            </w:r>
          </w:p>
        </w:tc>
      </w:tr>
    </w:tbl>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8"/>
          <w:szCs w:val="28"/>
          <w:rtl w:val="0"/>
        </w:rPr>
        <w:t xml:space="preserve">6 МАТРИЦЯ ВІДПОВІДНОСТІ КОМПЕТЕНТНОСТЕЙ ВИПУСКНИКА ОСВІТНІМ КОМПОНЕНТАМ ОСВІТНЬОЇ ПРОГРАМИ / MATRIX OF CORRESPONDENCE BETWEEN GRADUATE COMPETENCIES AND EDUCATIONAL COMPONENTS OF THE EDUCATIONAL PROGRAMME</w:t>
      </w:r>
      <w:r w:rsidDel="00000000" w:rsidR="00000000" w:rsidRPr="00000000">
        <w:rPr>
          <w:rtl w:val="0"/>
        </w:rPr>
      </w:r>
    </w:p>
    <w:p w:rsidR="00000000" w:rsidDel="00000000" w:rsidP="00000000" w:rsidRDefault="00000000" w:rsidRPr="00000000" w14:paraId="0000021B">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8"/>
          <w:szCs w:val="28"/>
        </w:rPr>
      </w:pPr>
      <w:r w:rsidDel="00000000" w:rsidR="00000000" w:rsidRPr="00000000">
        <w:rPr>
          <w:rtl w:val="0"/>
        </w:rPr>
      </w:r>
    </w:p>
    <w:tbl>
      <w:tblPr>
        <w:tblStyle w:val="Table11"/>
        <w:tblW w:w="9386.999999999998" w:type="dxa"/>
        <w:jc w:val="left"/>
        <w:tblInd w:w="28.999999999999986" w:type="dxa"/>
        <w:tblLayout w:type="fixed"/>
        <w:tblLook w:val="0000"/>
      </w:tblPr>
      <w:tblGrid>
        <w:gridCol w:w="719"/>
        <w:gridCol w:w="788"/>
        <w:gridCol w:w="788"/>
        <w:gridCol w:w="788"/>
        <w:gridCol w:w="788"/>
        <w:gridCol w:w="788"/>
        <w:gridCol w:w="788"/>
        <w:gridCol w:w="788"/>
        <w:gridCol w:w="788"/>
        <w:gridCol w:w="788"/>
        <w:gridCol w:w="788"/>
        <w:gridCol w:w="788"/>
        <w:tblGridChange w:id="0">
          <w:tblGrid>
            <w:gridCol w:w="719"/>
            <w:gridCol w:w="788"/>
            <w:gridCol w:w="788"/>
            <w:gridCol w:w="788"/>
            <w:gridCol w:w="788"/>
            <w:gridCol w:w="788"/>
            <w:gridCol w:w="788"/>
            <w:gridCol w:w="788"/>
            <w:gridCol w:w="788"/>
            <w:gridCol w:w="788"/>
            <w:gridCol w:w="788"/>
            <w:gridCol w:w="788"/>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727272" w:val="clear"/>
            <w:tcMar>
              <w:top w:w="0.0" w:type="dxa"/>
              <w:left w:w="108.0" w:type="dxa"/>
              <w:bottom w:w="0.0" w:type="dxa"/>
              <w:right w:w="108.0" w:type="dxa"/>
            </w:tcMar>
          </w:tcPr>
          <w:p w:rsidR="00000000" w:rsidDel="00000000" w:rsidP="00000000" w:rsidRDefault="00000000" w:rsidRPr="00000000" w14:paraId="0000021C">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27272" w:val="clear"/>
            <w:tcMar>
              <w:top w:w="0.0" w:type="dxa"/>
              <w:left w:w="108.0" w:type="dxa"/>
              <w:bottom w:w="0.0" w:type="dxa"/>
              <w:right w:w="108.0" w:type="dxa"/>
            </w:tcMar>
            <w:vAlign w:val="center"/>
          </w:tcPr>
          <w:p w:rsidR="00000000" w:rsidDel="00000000" w:rsidP="00000000" w:rsidRDefault="00000000" w:rsidRPr="00000000" w14:paraId="0000021D">
            <w:pPr>
              <w:widowControl w:val="0"/>
              <w:pBdr>
                <w:top w:space="0" w:sz="0" w:val="nil"/>
                <w:left w:space="0" w:sz="0" w:val="nil"/>
                <w:bottom w:space="0" w:sz="0" w:val="nil"/>
                <w:right w:space="0" w:sz="0" w:val="nil"/>
                <w:between w:space="0" w:sz="0" w:val="nil"/>
              </w:pBdr>
              <w:spacing w:line="256" w:lineRule="auto"/>
              <w:jc w:val="center"/>
              <w:rPr>
                <w:sz w:val="18"/>
                <w:szCs w:val="18"/>
              </w:rPr>
            </w:pPr>
            <w:r w:rsidDel="00000000" w:rsidR="00000000" w:rsidRPr="00000000">
              <w:rPr>
                <w:rFonts w:ascii="Times New Roman" w:cs="Times New Roman" w:eastAsia="Times New Roman" w:hAnsi="Times New Roman"/>
                <w:sz w:val="18"/>
                <w:szCs w:val="18"/>
                <w:rtl w:val="0"/>
              </w:rPr>
              <w:t xml:space="preserve">ОК1/CC1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27272" w:val="clear"/>
            <w:tcMar>
              <w:top w:w="0.0" w:type="dxa"/>
              <w:left w:w="108.0" w:type="dxa"/>
              <w:bottom w:w="0.0" w:type="dxa"/>
              <w:right w:w="108.0" w:type="dxa"/>
            </w:tcMar>
            <w:vAlign w:val="center"/>
          </w:tcPr>
          <w:p w:rsidR="00000000" w:rsidDel="00000000" w:rsidP="00000000" w:rsidRDefault="00000000" w:rsidRPr="00000000" w14:paraId="0000021E">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ОК2/</w:t>
            </w:r>
          </w:p>
          <w:p w:rsidR="00000000" w:rsidDel="00000000" w:rsidP="00000000" w:rsidRDefault="00000000" w:rsidRPr="00000000" w14:paraId="0000021F">
            <w:pPr>
              <w:widowControl w:val="0"/>
              <w:pBdr>
                <w:top w:space="0" w:sz="0" w:val="nil"/>
                <w:left w:space="0" w:sz="0" w:val="nil"/>
                <w:bottom w:space="0" w:sz="0" w:val="nil"/>
                <w:right w:space="0" w:sz="0" w:val="nil"/>
                <w:between w:space="0" w:sz="0" w:val="nil"/>
              </w:pBdr>
              <w:spacing w:line="256" w:lineRule="auto"/>
              <w:jc w:val="center"/>
              <w:rPr>
                <w:sz w:val="18"/>
                <w:szCs w:val="18"/>
              </w:rPr>
            </w:pPr>
            <w:r w:rsidDel="00000000" w:rsidR="00000000" w:rsidRPr="00000000">
              <w:rPr>
                <w:rFonts w:ascii="Times New Roman" w:cs="Times New Roman" w:eastAsia="Times New Roman" w:hAnsi="Times New Roman"/>
                <w:sz w:val="18"/>
                <w:szCs w:val="18"/>
                <w:rtl w:val="0"/>
              </w:rPr>
              <w:t xml:space="preserve">CC2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27272" w:val="clear"/>
            <w:tcMar>
              <w:top w:w="0.0" w:type="dxa"/>
              <w:left w:w="108.0" w:type="dxa"/>
              <w:bottom w:w="0.0" w:type="dxa"/>
              <w:right w:w="108.0" w:type="dxa"/>
            </w:tcMar>
            <w:vAlign w:val="center"/>
          </w:tcPr>
          <w:p w:rsidR="00000000" w:rsidDel="00000000" w:rsidP="00000000" w:rsidRDefault="00000000" w:rsidRPr="00000000" w14:paraId="00000220">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ОК3/</w:t>
            </w:r>
          </w:p>
          <w:p w:rsidR="00000000" w:rsidDel="00000000" w:rsidP="00000000" w:rsidRDefault="00000000" w:rsidRPr="00000000" w14:paraId="00000221">
            <w:pPr>
              <w:widowControl w:val="0"/>
              <w:pBdr>
                <w:top w:space="0" w:sz="0" w:val="nil"/>
                <w:left w:space="0" w:sz="0" w:val="nil"/>
                <w:bottom w:space="0" w:sz="0" w:val="nil"/>
                <w:right w:space="0" w:sz="0" w:val="nil"/>
                <w:between w:space="0" w:sz="0" w:val="nil"/>
              </w:pBdr>
              <w:spacing w:line="256" w:lineRule="auto"/>
              <w:jc w:val="center"/>
              <w:rPr>
                <w:sz w:val="18"/>
                <w:szCs w:val="18"/>
              </w:rPr>
            </w:pPr>
            <w:r w:rsidDel="00000000" w:rsidR="00000000" w:rsidRPr="00000000">
              <w:rPr>
                <w:rFonts w:ascii="Times New Roman" w:cs="Times New Roman" w:eastAsia="Times New Roman" w:hAnsi="Times New Roman"/>
                <w:sz w:val="18"/>
                <w:szCs w:val="18"/>
                <w:rtl w:val="0"/>
              </w:rPr>
              <w:t xml:space="preserve">CC3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27272" w:val="clear"/>
            <w:tcMar>
              <w:top w:w="0.0" w:type="dxa"/>
              <w:left w:w="108.0" w:type="dxa"/>
              <w:bottom w:w="0.0" w:type="dxa"/>
              <w:right w:w="108.0" w:type="dxa"/>
            </w:tcMar>
            <w:vAlign w:val="center"/>
          </w:tcPr>
          <w:p w:rsidR="00000000" w:rsidDel="00000000" w:rsidP="00000000" w:rsidRDefault="00000000" w:rsidRPr="00000000" w14:paraId="00000222">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ОК4/</w:t>
            </w:r>
          </w:p>
          <w:p w:rsidR="00000000" w:rsidDel="00000000" w:rsidP="00000000" w:rsidRDefault="00000000" w:rsidRPr="00000000" w14:paraId="00000223">
            <w:pPr>
              <w:widowControl w:val="0"/>
              <w:pBdr>
                <w:top w:space="0" w:sz="0" w:val="nil"/>
                <w:left w:space="0" w:sz="0" w:val="nil"/>
                <w:bottom w:space="0" w:sz="0" w:val="nil"/>
                <w:right w:space="0" w:sz="0" w:val="nil"/>
                <w:between w:space="0" w:sz="0" w:val="nil"/>
              </w:pBdr>
              <w:spacing w:line="256" w:lineRule="auto"/>
              <w:jc w:val="center"/>
              <w:rPr>
                <w:sz w:val="18"/>
                <w:szCs w:val="18"/>
              </w:rPr>
            </w:pPr>
            <w:r w:rsidDel="00000000" w:rsidR="00000000" w:rsidRPr="00000000">
              <w:rPr>
                <w:rFonts w:ascii="Times New Roman" w:cs="Times New Roman" w:eastAsia="Times New Roman" w:hAnsi="Times New Roman"/>
                <w:sz w:val="18"/>
                <w:szCs w:val="18"/>
                <w:rtl w:val="0"/>
              </w:rPr>
              <w:t xml:space="preserve">CC4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27272" w:val="clear"/>
            <w:tcMar>
              <w:top w:w="0.0" w:type="dxa"/>
              <w:left w:w="108.0" w:type="dxa"/>
              <w:bottom w:w="0.0" w:type="dxa"/>
              <w:right w:w="108.0" w:type="dxa"/>
            </w:tcMar>
          </w:tcPr>
          <w:p w:rsidR="00000000" w:rsidDel="00000000" w:rsidP="00000000" w:rsidRDefault="00000000" w:rsidRPr="00000000" w14:paraId="00000224">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ОК5/</w:t>
            </w:r>
          </w:p>
          <w:p w:rsidR="00000000" w:rsidDel="00000000" w:rsidP="00000000" w:rsidRDefault="00000000" w:rsidRPr="00000000" w14:paraId="00000225">
            <w:pPr>
              <w:widowControl w:val="0"/>
              <w:pBdr>
                <w:top w:space="0" w:sz="0" w:val="nil"/>
                <w:left w:space="0" w:sz="0" w:val="nil"/>
                <w:bottom w:space="0" w:sz="0" w:val="nil"/>
                <w:right w:space="0" w:sz="0" w:val="nil"/>
                <w:between w:space="0" w:sz="0" w:val="nil"/>
              </w:pBdr>
              <w:spacing w:line="256" w:lineRule="auto"/>
              <w:jc w:val="center"/>
              <w:rPr>
                <w:sz w:val="18"/>
                <w:szCs w:val="18"/>
              </w:rPr>
            </w:pPr>
            <w:r w:rsidDel="00000000" w:rsidR="00000000" w:rsidRPr="00000000">
              <w:rPr>
                <w:rFonts w:ascii="Times New Roman" w:cs="Times New Roman" w:eastAsia="Times New Roman" w:hAnsi="Times New Roman"/>
                <w:sz w:val="18"/>
                <w:szCs w:val="18"/>
                <w:rtl w:val="0"/>
              </w:rPr>
              <w:t xml:space="preserve">CC5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27272" w:val="clear"/>
            <w:tcMar>
              <w:top w:w="0.0" w:type="dxa"/>
              <w:left w:w="108.0" w:type="dxa"/>
              <w:bottom w:w="0.0" w:type="dxa"/>
              <w:right w:w="108.0" w:type="dxa"/>
            </w:tcMar>
          </w:tcPr>
          <w:p w:rsidR="00000000" w:rsidDel="00000000" w:rsidP="00000000" w:rsidRDefault="00000000" w:rsidRPr="00000000" w14:paraId="00000226">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ОК6/</w:t>
            </w:r>
          </w:p>
          <w:p w:rsidR="00000000" w:rsidDel="00000000" w:rsidP="00000000" w:rsidRDefault="00000000" w:rsidRPr="00000000" w14:paraId="00000227">
            <w:pPr>
              <w:widowControl w:val="0"/>
              <w:pBdr>
                <w:top w:space="0" w:sz="0" w:val="nil"/>
                <w:left w:space="0" w:sz="0" w:val="nil"/>
                <w:bottom w:space="0" w:sz="0" w:val="nil"/>
                <w:right w:space="0" w:sz="0" w:val="nil"/>
                <w:between w:space="0" w:sz="0" w:val="nil"/>
              </w:pBdr>
              <w:spacing w:line="256" w:lineRule="auto"/>
              <w:jc w:val="center"/>
              <w:rPr>
                <w:sz w:val="18"/>
                <w:szCs w:val="18"/>
              </w:rPr>
            </w:pPr>
            <w:r w:rsidDel="00000000" w:rsidR="00000000" w:rsidRPr="00000000">
              <w:rPr>
                <w:rFonts w:ascii="Times New Roman" w:cs="Times New Roman" w:eastAsia="Times New Roman" w:hAnsi="Times New Roman"/>
                <w:sz w:val="18"/>
                <w:szCs w:val="18"/>
                <w:rtl w:val="0"/>
              </w:rPr>
              <w:t xml:space="preserve">CC6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27272" w:val="clear"/>
            <w:tcMar>
              <w:top w:w="0.0" w:type="dxa"/>
              <w:left w:w="108.0" w:type="dxa"/>
              <w:bottom w:w="0.0" w:type="dxa"/>
              <w:right w:w="108.0" w:type="dxa"/>
            </w:tcMar>
          </w:tcPr>
          <w:p w:rsidR="00000000" w:rsidDel="00000000" w:rsidP="00000000" w:rsidRDefault="00000000" w:rsidRPr="00000000" w14:paraId="00000228">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ОК7/</w:t>
            </w:r>
          </w:p>
          <w:p w:rsidR="00000000" w:rsidDel="00000000" w:rsidP="00000000" w:rsidRDefault="00000000" w:rsidRPr="00000000" w14:paraId="00000229">
            <w:pPr>
              <w:widowControl w:val="0"/>
              <w:pBdr>
                <w:top w:space="0" w:sz="0" w:val="nil"/>
                <w:left w:space="0" w:sz="0" w:val="nil"/>
                <w:bottom w:space="0" w:sz="0" w:val="nil"/>
                <w:right w:space="0" w:sz="0" w:val="nil"/>
                <w:between w:space="0" w:sz="0" w:val="nil"/>
              </w:pBdr>
              <w:spacing w:line="256" w:lineRule="auto"/>
              <w:jc w:val="center"/>
              <w:rPr>
                <w:sz w:val="18"/>
                <w:szCs w:val="18"/>
              </w:rPr>
            </w:pPr>
            <w:r w:rsidDel="00000000" w:rsidR="00000000" w:rsidRPr="00000000">
              <w:rPr>
                <w:rFonts w:ascii="Times New Roman" w:cs="Times New Roman" w:eastAsia="Times New Roman" w:hAnsi="Times New Roman"/>
                <w:sz w:val="18"/>
                <w:szCs w:val="18"/>
                <w:rtl w:val="0"/>
              </w:rPr>
              <w:t xml:space="preserve">CC7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27272" w:val="clear"/>
            <w:tcMar>
              <w:top w:w="0.0" w:type="dxa"/>
              <w:left w:w="108.0" w:type="dxa"/>
              <w:bottom w:w="0.0" w:type="dxa"/>
              <w:right w:w="108.0" w:type="dxa"/>
            </w:tcMar>
          </w:tcPr>
          <w:p w:rsidR="00000000" w:rsidDel="00000000" w:rsidP="00000000" w:rsidRDefault="00000000" w:rsidRPr="00000000" w14:paraId="0000022A">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ОК8/</w:t>
            </w:r>
          </w:p>
          <w:p w:rsidR="00000000" w:rsidDel="00000000" w:rsidP="00000000" w:rsidRDefault="00000000" w:rsidRPr="00000000" w14:paraId="0000022B">
            <w:pPr>
              <w:widowControl w:val="0"/>
              <w:pBdr>
                <w:top w:space="0" w:sz="0" w:val="nil"/>
                <w:left w:space="0" w:sz="0" w:val="nil"/>
                <w:bottom w:space="0" w:sz="0" w:val="nil"/>
                <w:right w:space="0" w:sz="0" w:val="nil"/>
                <w:between w:space="0" w:sz="0" w:val="nil"/>
              </w:pBdr>
              <w:spacing w:line="256" w:lineRule="auto"/>
              <w:jc w:val="center"/>
              <w:rPr>
                <w:sz w:val="18"/>
                <w:szCs w:val="18"/>
              </w:rPr>
            </w:pPr>
            <w:r w:rsidDel="00000000" w:rsidR="00000000" w:rsidRPr="00000000">
              <w:rPr>
                <w:rFonts w:ascii="Times New Roman" w:cs="Times New Roman" w:eastAsia="Times New Roman" w:hAnsi="Times New Roman"/>
                <w:sz w:val="18"/>
                <w:szCs w:val="18"/>
                <w:rtl w:val="0"/>
              </w:rPr>
              <w:t xml:space="preserve">CC8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27272" w:val="clear"/>
            <w:tcMar>
              <w:top w:w="0.0" w:type="dxa"/>
              <w:left w:w="108.0" w:type="dxa"/>
              <w:bottom w:w="0.0" w:type="dxa"/>
              <w:right w:w="108.0" w:type="dxa"/>
            </w:tcMar>
          </w:tcPr>
          <w:p w:rsidR="00000000" w:rsidDel="00000000" w:rsidP="00000000" w:rsidRDefault="00000000" w:rsidRPr="00000000" w14:paraId="0000022C">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ОК9/</w:t>
            </w:r>
          </w:p>
          <w:p w:rsidR="00000000" w:rsidDel="00000000" w:rsidP="00000000" w:rsidRDefault="00000000" w:rsidRPr="00000000" w14:paraId="0000022D">
            <w:pPr>
              <w:widowControl w:val="0"/>
              <w:pBdr>
                <w:top w:space="0" w:sz="0" w:val="nil"/>
                <w:left w:space="0" w:sz="0" w:val="nil"/>
                <w:bottom w:space="0" w:sz="0" w:val="nil"/>
                <w:right w:space="0" w:sz="0" w:val="nil"/>
                <w:between w:space="0" w:sz="0" w:val="nil"/>
              </w:pBdr>
              <w:spacing w:line="256" w:lineRule="auto"/>
              <w:jc w:val="center"/>
              <w:rPr>
                <w:sz w:val="18"/>
                <w:szCs w:val="18"/>
              </w:rPr>
            </w:pPr>
            <w:r w:rsidDel="00000000" w:rsidR="00000000" w:rsidRPr="00000000">
              <w:rPr>
                <w:rFonts w:ascii="Times New Roman" w:cs="Times New Roman" w:eastAsia="Times New Roman" w:hAnsi="Times New Roman"/>
                <w:sz w:val="18"/>
                <w:szCs w:val="18"/>
                <w:rtl w:val="0"/>
              </w:rPr>
              <w:t xml:space="preserve">CC9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27272" w:val="clear"/>
            <w:tcMar>
              <w:top w:w="0.0" w:type="dxa"/>
              <w:left w:w="108.0" w:type="dxa"/>
              <w:bottom w:w="0.0" w:type="dxa"/>
              <w:right w:w="108.0" w:type="dxa"/>
            </w:tcMar>
          </w:tcPr>
          <w:p w:rsidR="00000000" w:rsidDel="00000000" w:rsidP="00000000" w:rsidRDefault="00000000" w:rsidRPr="00000000" w14:paraId="0000022E">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ОК10/</w:t>
            </w:r>
          </w:p>
          <w:p w:rsidR="00000000" w:rsidDel="00000000" w:rsidP="00000000" w:rsidRDefault="00000000" w:rsidRPr="00000000" w14:paraId="0000022F">
            <w:pPr>
              <w:widowControl w:val="0"/>
              <w:pBdr>
                <w:top w:space="0" w:sz="0" w:val="nil"/>
                <w:left w:space="0" w:sz="0" w:val="nil"/>
                <w:bottom w:space="0" w:sz="0" w:val="nil"/>
                <w:right w:space="0" w:sz="0" w:val="nil"/>
                <w:between w:space="0" w:sz="0" w:val="nil"/>
              </w:pBdr>
              <w:spacing w:line="256" w:lineRule="auto"/>
              <w:jc w:val="center"/>
              <w:rPr>
                <w:sz w:val="18"/>
                <w:szCs w:val="18"/>
              </w:rPr>
            </w:pPr>
            <w:r w:rsidDel="00000000" w:rsidR="00000000" w:rsidRPr="00000000">
              <w:rPr>
                <w:rFonts w:ascii="Times New Roman" w:cs="Times New Roman" w:eastAsia="Times New Roman" w:hAnsi="Times New Roman"/>
                <w:sz w:val="18"/>
                <w:szCs w:val="18"/>
                <w:rtl w:val="0"/>
              </w:rPr>
              <w:t xml:space="preserve">CC10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727272" w:val="clear"/>
            <w:tcMar>
              <w:top w:w="0.0" w:type="dxa"/>
              <w:left w:w="108.0" w:type="dxa"/>
              <w:bottom w:w="0.0" w:type="dxa"/>
              <w:right w:w="108.0" w:type="dxa"/>
            </w:tcMar>
          </w:tcPr>
          <w:p w:rsidR="00000000" w:rsidDel="00000000" w:rsidP="00000000" w:rsidRDefault="00000000" w:rsidRPr="00000000" w14:paraId="00000230">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ОК11/</w:t>
            </w:r>
          </w:p>
          <w:p w:rsidR="00000000" w:rsidDel="00000000" w:rsidP="00000000" w:rsidRDefault="00000000" w:rsidRPr="00000000" w14:paraId="00000231">
            <w:pPr>
              <w:widowControl w:val="0"/>
              <w:pBdr>
                <w:top w:space="0" w:sz="0" w:val="nil"/>
                <w:left w:space="0" w:sz="0" w:val="nil"/>
                <w:bottom w:space="0" w:sz="0" w:val="nil"/>
                <w:right w:space="0" w:sz="0" w:val="nil"/>
                <w:between w:space="0" w:sz="0" w:val="nil"/>
              </w:pBdr>
              <w:spacing w:line="256" w:lineRule="auto"/>
              <w:jc w:val="center"/>
              <w:rPr>
                <w:sz w:val="18"/>
                <w:szCs w:val="18"/>
              </w:rPr>
            </w:pPr>
            <w:r w:rsidDel="00000000" w:rsidR="00000000" w:rsidRPr="00000000">
              <w:rPr>
                <w:rFonts w:ascii="Times New Roman" w:cs="Times New Roman" w:eastAsia="Times New Roman" w:hAnsi="Times New Roman"/>
                <w:sz w:val="18"/>
                <w:szCs w:val="18"/>
                <w:rtl w:val="0"/>
              </w:rPr>
              <w:t xml:space="preserve">CC11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32">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ЗК1/ GC1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33">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34">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35">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36">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3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38">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39">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3A">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3B">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3C">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ЗК2/ GC2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3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0">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2">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4">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5">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8">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9">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4A">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ЗК3/ GC3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B">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C">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D">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E">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4F">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0">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1">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2">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3">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4">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5">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56">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ЗК4/ GC4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8">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9">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A">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B">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C">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D">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E">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5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62">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ЗК5/ GC5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6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64">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65">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66">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6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68">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6A">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6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6C">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6D">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6E">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ЗК6/ GC6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6F">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0">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1">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2">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4">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5">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7">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8">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9">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7A">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СК1/ SC1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B">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1">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2">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3">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СК2/ SC2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8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90">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91">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СК3/ SC3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9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9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9A">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9D">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СК4/ SC4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9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0">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1">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2">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4">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5">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8">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9">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AA">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СК5/ SC5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B">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C">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D">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E">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A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0">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1">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2">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3">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4">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СК6/ SC6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C">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D">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СК7/ SC7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C5">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СК8/ SC8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СК9/ SC9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СК10/ SC10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F1">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F2">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СК11/ SC11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F3">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F4">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F5">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F6">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F9">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FB">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2FE">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rFonts w:ascii="Times New Roman" w:cs="Times New Roman" w:eastAsia="Times New Roman" w:hAnsi="Times New Roman"/>
                <w:sz w:val="18"/>
                <w:szCs w:val="18"/>
                <w:rtl w:val="0"/>
              </w:rPr>
              <w:t xml:space="preserve">СК12/ SC12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2FF">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00">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01">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02">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0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04">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05">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0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07">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08">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09">
            <w:pPr>
              <w:widowControl w:val="0"/>
              <w:pBdr>
                <w:top w:space="0" w:sz="0" w:val="nil"/>
                <w:left w:space="0" w:sz="0" w:val="nil"/>
                <w:bottom w:space="0" w:sz="0" w:val="nil"/>
                <w:right w:space="0" w:sz="0" w:val="nil"/>
                <w:between w:space="0" w:sz="0" w:val="nil"/>
              </w:pBdr>
              <w:spacing w:line="256" w:lineRule="auto"/>
              <w:rPr>
                <w:sz w:val="18"/>
                <w:szCs w:val="18"/>
              </w:rPr>
            </w:pPr>
            <w:r w:rsidDel="00000000" w:rsidR="00000000" w:rsidRPr="00000000">
              <w:rPr>
                <w:b w:val="1"/>
                <w:sz w:val="18"/>
                <w:szCs w:val="18"/>
                <w:rtl w:val="0"/>
              </w:rPr>
              <w:t xml:space="preserve">+</w:t>
            </w:r>
            <w:r w:rsidDel="00000000" w:rsidR="00000000" w:rsidRPr="00000000">
              <w:rPr>
                <w:rtl w:val="0"/>
              </w:rPr>
            </w:r>
          </w:p>
        </w:tc>
      </w:tr>
    </w:tbl>
    <w:p w:rsidR="00000000" w:rsidDel="00000000" w:rsidP="00000000" w:rsidRDefault="00000000" w:rsidRPr="00000000" w14:paraId="0000030A">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30B">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8"/>
          <w:szCs w:val="28"/>
          <w:rtl w:val="0"/>
        </w:rPr>
        <w:t xml:space="preserve">7 МАТРИЦЯ ВІДПОВІДНОСТІ ПРОГРАМНИХ РЕЗУЛЬТАТІВ НАВЧАННЯ (ПРН) ОСВІТНІМ КОМПОНЕНТАМ ОСВІТНЬОЇ ПРОГРАМИ / MATRIX OF CORRESPONDENCE BETWEEN PROGRAM LEARNING OUTCOMES AND EDUCATIONAL COMPONENTS OF THE EDUCATIONAL PROGRAMME</w:t>
      </w:r>
      <w:r w:rsidDel="00000000" w:rsidR="00000000" w:rsidRPr="00000000">
        <w:rPr>
          <w:rtl w:val="0"/>
        </w:rPr>
      </w:r>
    </w:p>
    <w:p w:rsidR="00000000" w:rsidDel="00000000" w:rsidP="00000000" w:rsidRDefault="00000000" w:rsidRPr="00000000" w14:paraId="0000030C">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sz w:val="28"/>
          <w:szCs w:val="28"/>
        </w:rPr>
      </w:pPr>
      <w:r w:rsidDel="00000000" w:rsidR="00000000" w:rsidRPr="00000000">
        <w:rPr>
          <w:rtl w:val="0"/>
        </w:rPr>
      </w:r>
    </w:p>
    <w:tbl>
      <w:tblPr>
        <w:tblStyle w:val="Table12"/>
        <w:tblW w:w="9521.999999999998" w:type="dxa"/>
        <w:jc w:val="left"/>
        <w:tblInd w:w="-80.0" w:type="dxa"/>
        <w:tblLayout w:type="fixed"/>
        <w:tblLook w:val="0000"/>
      </w:tblPr>
      <w:tblGrid>
        <w:gridCol w:w="854"/>
        <w:gridCol w:w="788"/>
        <w:gridCol w:w="788"/>
        <w:gridCol w:w="788"/>
        <w:gridCol w:w="788"/>
        <w:gridCol w:w="788"/>
        <w:gridCol w:w="788"/>
        <w:gridCol w:w="788"/>
        <w:gridCol w:w="788"/>
        <w:gridCol w:w="788"/>
        <w:gridCol w:w="788"/>
        <w:gridCol w:w="788"/>
        <w:tblGridChange w:id="0">
          <w:tblGrid>
            <w:gridCol w:w="854"/>
            <w:gridCol w:w="788"/>
            <w:gridCol w:w="788"/>
            <w:gridCol w:w="788"/>
            <w:gridCol w:w="788"/>
            <w:gridCol w:w="788"/>
            <w:gridCol w:w="788"/>
            <w:gridCol w:w="788"/>
            <w:gridCol w:w="788"/>
            <w:gridCol w:w="788"/>
            <w:gridCol w:w="788"/>
            <w:gridCol w:w="788"/>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595959" w:val="clear"/>
            <w:tcMar>
              <w:top w:w="0.0" w:type="dxa"/>
              <w:left w:w="108.0" w:type="dxa"/>
              <w:bottom w:w="0.0" w:type="dxa"/>
              <w:right w:w="108.0" w:type="dxa"/>
            </w:tcMar>
          </w:tcPr>
          <w:p w:rsidR="00000000" w:rsidDel="00000000" w:rsidP="00000000" w:rsidRDefault="00000000" w:rsidRPr="00000000" w14:paraId="0000030D">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595959" w:val="clear"/>
            <w:tcMar>
              <w:top w:w="0.0" w:type="dxa"/>
              <w:left w:w="108.0" w:type="dxa"/>
              <w:bottom w:w="0.0" w:type="dxa"/>
              <w:right w:w="108.0" w:type="dxa"/>
            </w:tcMar>
            <w:vAlign w:val="center"/>
          </w:tcPr>
          <w:p w:rsidR="00000000" w:rsidDel="00000000" w:rsidP="00000000" w:rsidRDefault="00000000" w:rsidRPr="00000000" w14:paraId="0000030E">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ОК1/</w:t>
            </w:r>
          </w:p>
          <w:p w:rsidR="00000000" w:rsidDel="00000000" w:rsidP="00000000" w:rsidRDefault="00000000" w:rsidRPr="00000000" w14:paraId="0000030F">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CC1</w:t>
            </w:r>
          </w:p>
        </w:tc>
        <w:tc>
          <w:tcPr>
            <w:tcBorders>
              <w:top w:color="000000" w:space="0" w:sz="4" w:val="single"/>
              <w:left w:color="000000" w:space="0" w:sz="4" w:val="single"/>
              <w:bottom w:color="000000" w:space="0" w:sz="4" w:val="single"/>
              <w:right w:color="000000" w:space="0" w:sz="4" w:val="single"/>
            </w:tcBorders>
            <w:shd w:fill="595959" w:val="clear"/>
            <w:tcMar>
              <w:top w:w="0.0" w:type="dxa"/>
              <w:left w:w="108.0" w:type="dxa"/>
              <w:bottom w:w="0.0" w:type="dxa"/>
              <w:right w:w="108.0" w:type="dxa"/>
            </w:tcMar>
            <w:vAlign w:val="center"/>
          </w:tcPr>
          <w:p w:rsidR="00000000" w:rsidDel="00000000" w:rsidP="00000000" w:rsidRDefault="00000000" w:rsidRPr="00000000" w14:paraId="00000310">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ОК2/</w:t>
            </w:r>
          </w:p>
          <w:p w:rsidR="00000000" w:rsidDel="00000000" w:rsidP="00000000" w:rsidRDefault="00000000" w:rsidRPr="00000000" w14:paraId="00000311">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CC2</w:t>
            </w:r>
          </w:p>
        </w:tc>
        <w:tc>
          <w:tcPr>
            <w:tcBorders>
              <w:top w:color="000000" w:space="0" w:sz="4" w:val="single"/>
              <w:left w:color="000000" w:space="0" w:sz="4" w:val="single"/>
              <w:bottom w:color="000000" w:space="0" w:sz="4" w:val="single"/>
              <w:right w:color="000000" w:space="0" w:sz="4" w:val="single"/>
            </w:tcBorders>
            <w:shd w:fill="595959" w:val="clear"/>
            <w:tcMar>
              <w:top w:w="0.0" w:type="dxa"/>
              <w:left w:w="108.0" w:type="dxa"/>
              <w:bottom w:w="0.0" w:type="dxa"/>
              <w:right w:w="108.0" w:type="dxa"/>
            </w:tcMar>
            <w:vAlign w:val="center"/>
          </w:tcPr>
          <w:p w:rsidR="00000000" w:rsidDel="00000000" w:rsidP="00000000" w:rsidRDefault="00000000" w:rsidRPr="00000000" w14:paraId="00000312">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ОК3/</w:t>
            </w:r>
          </w:p>
          <w:p w:rsidR="00000000" w:rsidDel="00000000" w:rsidP="00000000" w:rsidRDefault="00000000" w:rsidRPr="00000000" w14:paraId="00000313">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CC3</w:t>
            </w:r>
          </w:p>
        </w:tc>
        <w:tc>
          <w:tcPr>
            <w:tcBorders>
              <w:top w:color="000000" w:space="0" w:sz="4" w:val="single"/>
              <w:left w:color="000000" w:space="0" w:sz="4" w:val="single"/>
              <w:bottom w:color="000000" w:space="0" w:sz="4" w:val="single"/>
              <w:right w:color="000000" w:space="0" w:sz="4" w:val="single"/>
            </w:tcBorders>
            <w:shd w:fill="595959" w:val="clear"/>
            <w:tcMar>
              <w:top w:w="0.0" w:type="dxa"/>
              <w:left w:w="108.0" w:type="dxa"/>
              <w:bottom w:w="0.0" w:type="dxa"/>
              <w:right w:w="108.0" w:type="dxa"/>
            </w:tcMar>
            <w:vAlign w:val="center"/>
          </w:tcPr>
          <w:p w:rsidR="00000000" w:rsidDel="00000000" w:rsidP="00000000" w:rsidRDefault="00000000" w:rsidRPr="00000000" w14:paraId="00000314">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ОК4/</w:t>
            </w:r>
          </w:p>
          <w:p w:rsidR="00000000" w:rsidDel="00000000" w:rsidP="00000000" w:rsidRDefault="00000000" w:rsidRPr="00000000" w14:paraId="00000315">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CC4</w:t>
            </w:r>
          </w:p>
        </w:tc>
        <w:tc>
          <w:tcPr>
            <w:tcBorders>
              <w:top w:color="000000" w:space="0" w:sz="4" w:val="single"/>
              <w:left w:color="000000" w:space="0" w:sz="4" w:val="single"/>
              <w:bottom w:color="000000" w:space="0" w:sz="4" w:val="single"/>
              <w:right w:color="000000" w:space="0" w:sz="4" w:val="single"/>
            </w:tcBorders>
            <w:shd w:fill="595959" w:val="clear"/>
            <w:tcMar>
              <w:top w:w="0.0" w:type="dxa"/>
              <w:left w:w="108.0" w:type="dxa"/>
              <w:bottom w:w="0.0" w:type="dxa"/>
              <w:right w:w="108.0" w:type="dxa"/>
            </w:tcMar>
          </w:tcPr>
          <w:p w:rsidR="00000000" w:rsidDel="00000000" w:rsidP="00000000" w:rsidRDefault="00000000" w:rsidRPr="00000000" w14:paraId="00000316">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ОК5/</w:t>
            </w:r>
          </w:p>
          <w:p w:rsidR="00000000" w:rsidDel="00000000" w:rsidP="00000000" w:rsidRDefault="00000000" w:rsidRPr="00000000" w14:paraId="00000317">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CC5</w:t>
            </w:r>
          </w:p>
        </w:tc>
        <w:tc>
          <w:tcPr>
            <w:tcBorders>
              <w:top w:color="000000" w:space="0" w:sz="4" w:val="single"/>
              <w:left w:color="000000" w:space="0" w:sz="4" w:val="single"/>
              <w:bottom w:color="000000" w:space="0" w:sz="4" w:val="single"/>
              <w:right w:color="000000" w:space="0" w:sz="4" w:val="single"/>
            </w:tcBorders>
            <w:shd w:fill="595959" w:val="clear"/>
            <w:tcMar>
              <w:top w:w="0.0" w:type="dxa"/>
              <w:left w:w="108.0" w:type="dxa"/>
              <w:bottom w:w="0.0" w:type="dxa"/>
              <w:right w:w="108.0" w:type="dxa"/>
            </w:tcMar>
          </w:tcPr>
          <w:p w:rsidR="00000000" w:rsidDel="00000000" w:rsidP="00000000" w:rsidRDefault="00000000" w:rsidRPr="00000000" w14:paraId="00000318">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ОК6/</w:t>
            </w:r>
          </w:p>
          <w:p w:rsidR="00000000" w:rsidDel="00000000" w:rsidP="00000000" w:rsidRDefault="00000000" w:rsidRPr="00000000" w14:paraId="00000319">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CC6</w:t>
            </w:r>
          </w:p>
        </w:tc>
        <w:tc>
          <w:tcPr>
            <w:tcBorders>
              <w:top w:color="000000" w:space="0" w:sz="4" w:val="single"/>
              <w:left w:color="000000" w:space="0" w:sz="4" w:val="single"/>
              <w:bottom w:color="000000" w:space="0" w:sz="4" w:val="single"/>
              <w:right w:color="000000" w:space="0" w:sz="4" w:val="single"/>
            </w:tcBorders>
            <w:shd w:fill="595959" w:val="clear"/>
            <w:tcMar>
              <w:top w:w="0.0" w:type="dxa"/>
              <w:left w:w="108.0" w:type="dxa"/>
              <w:bottom w:w="0.0" w:type="dxa"/>
              <w:right w:w="108.0" w:type="dxa"/>
            </w:tcMar>
          </w:tcPr>
          <w:p w:rsidR="00000000" w:rsidDel="00000000" w:rsidP="00000000" w:rsidRDefault="00000000" w:rsidRPr="00000000" w14:paraId="0000031A">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ОК7/</w:t>
            </w:r>
          </w:p>
          <w:p w:rsidR="00000000" w:rsidDel="00000000" w:rsidP="00000000" w:rsidRDefault="00000000" w:rsidRPr="00000000" w14:paraId="0000031B">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CC7</w:t>
            </w:r>
          </w:p>
        </w:tc>
        <w:tc>
          <w:tcPr>
            <w:tcBorders>
              <w:top w:color="000000" w:space="0" w:sz="4" w:val="single"/>
              <w:left w:color="000000" w:space="0" w:sz="4" w:val="single"/>
              <w:bottom w:color="000000" w:space="0" w:sz="4" w:val="single"/>
              <w:right w:color="000000" w:space="0" w:sz="4" w:val="single"/>
            </w:tcBorders>
            <w:shd w:fill="595959" w:val="clear"/>
            <w:tcMar>
              <w:top w:w="0.0" w:type="dxa"/>
              <w:left w:w="108.0" w:type="dxa"/>
              <w:bottom w:w="0.0" w:type="dxa"/>
              <w:right w:w="108.0" w:type="dxa"/>
            </w:tcMar>
          </w:tcPr>
          <w:p w:rsidR="00000000" w:rsidDel="00000000" w:rsidP="00000000" w:rsidRDefault="00000000" w:rsidRPr="00000000" w14:paraId="0000031C">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ОК8/</w:t>
            </w:r>
          </w:p>
          <w:p w:rsidR="00000000" w:rsidDel="00000000" w:rsidP="00000000" w:rsidRDefault="00000000" w:rsidRPr="00000000" w14:paraId="0000031D">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CC8</w:t>
            </w:r>
          </w:p>
        </w:tc>
        <w:tc>
          <w:tcPr>
            <w:tcBorders>
              <w:top w:color="000000" w:space="0" w:sz="4" w:val="single"/>
              <w:left w:color="000000" w:space="0" w:sz="4" w:val="single"/>
              <w:bottom w:color="000000" w:space="0" w:sz="4" w:val="single"/>
              <w:right w:color="000000" w:space="0" w:sz="4" w:val="single"/>
            </w:tcBorders>
            <w:shd w:fill="595959" w:val="clear"/>
            <w:tcMar>
              <w:top w:w="0.0" w:type="dxa"/>
              <w:left w:w="108.0" w:type="dxa"/>
              <w:bottom w:w="0.0" w:type="dxa"/>
              <w:right w:w="108.0" w:type="dxa"/>
            </w:tcMar>
          </w:tcPr>
          <w:p w:rsidR="00000000" w:rsidDel="00000000" w:rsidP="00000000" w:rsidRDefault="00000000" w:rsidRPr="00000000" w14:paraId="0000031E">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ОК9/</w:t>
            </w:r>
          </w:p>
          <w:p w:rsidR="00000000" w:rsidDel="00000000" w:rsidP="00000000" w:rsidRDefault="00000000" w:rsidRPr="00000000" w14:paraId="0000031F">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CC9</w:t>
            </w:r>
          </w:p>
        </w:tc>
        <w:tc>
          <w:tcPr>
            <w:tcBorders>
              <w:top w:color="000000" w:space="0" w:sz="4" w:val="single"/>
              <w:left w:color="000000" w:space="0" w:sz="4" w:val="single"/>
              <w:bottom w:color="000000" w:space="0" w:sz="4" w:val="single"/>
              <w:right w:color="000000" w:space="0" w:sz="4" w:val="single"/>
            </w:tcBorders>
            <w:shd w:fill="595959" w:val="clear"/>
            <w:tcMar>
              <w:top w:w="0.0" w:type="dxa"/>
              <w:left w:w="108.0" w:type="dxa"/>
              <w:bottom w:w="0.0" w:type="dxa"/>
              <w:right w:w="108.0" w:type="dxa"/>
            </w:tcMar>
          </w:tcPr>
          <w:p w:rsidR="00000000" w:rsidDel="00000000" w:rsidP="00000000" w:rsidRDefault="00000000" w:rsidRPr="00000000" w14:paraId="00000320">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ОК10/CC10</w:t>
            </w:r>
          </w:p>
        </w:tc>
        <w:tc>
          <w:tcPr>
            <w:tcBorders>
              <w:top w:color="000000" w:space="0" w:sz="4" w:val="single"/>
              <w:left w:color="000000" w:space="0" w:sz="4" w:val="single"/>
              <w:bottom w:color="000000" w:space="0" w:sz="4" w:val="single"/>
              <w:right w:color="000000" w:space="0" w:sz="4" w:val="single"/>
            </w:tcBorders>
            <w:shd w:fill="595959" w:val="clear"/>
            <w:tcMar>
              <w:top w:w="0.0" w:type="dxa"/>
              <w:left w:w="108.0" w:type="dxa"/>
              <w:bottom w:w="0.0" w:type="dxa"/>
              <w:right w:w="108.0" w:type="dxa"/>
            </w:tcMar>
          </w:tcPr>
          <w:p w:rsidR="00000000" w:rsidDel="00000000" w:rsidP="00000000" w:rsidRDefault="00000000" w:rsidRPr="00000000" w14:paraId="00000321">
            <w:pPr>
              <w:widowControl w:val="0"/>
              <w:pBdr>
                <w:top w:space="0" w:sz="0" w:val="nil"/>
                <w:left w:space="0" w:sz="0" w:val="nil"/>
                <w:bottom w:space="0" w:sz="0" w:val="nil"/>
                <w:right w:space="0" w:sz="0" w:val="nil"/>
                <w:between w:space="0" w:sz="0" w:val="nil"/>
              </w:pBdr>
              <w:spacing w:line="25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ОК11/CC11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22">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ПРН1/ PLO1</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2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24">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25">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2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2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28">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29">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2A">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2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2C">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2D">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2E">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ПРН2/ PLO2</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2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0">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1">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2">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4">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5">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8">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9">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3A">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ПРН3/ PLO3</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C">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D">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E">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3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0">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1">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2">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4">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5">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4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ПРН4/ PLO4</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8">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9">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A">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C">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D">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E">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4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50">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51">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52">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ПРН5/ PLO5</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5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54">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55">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5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5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58">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59">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5A">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5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5C">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5D">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5E">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ПРН6/ PLO6</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5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0">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1">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2">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4">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5">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8">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9">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6A">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ПРН7/ PLO7</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C">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D">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E">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6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0">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1">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2">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4">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5">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7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ПРН8/ PLO8</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8">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9">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A">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C">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D">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E">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7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80">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81">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82">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ПРН9/ PLO9</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8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84">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85">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8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8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88">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89">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8A">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8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8C">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8D">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8E">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ПРН10/ PLO10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8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0">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1">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2">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4">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5">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8">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9">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9A">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ПРН11/ PLO11</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C">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D">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E">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9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0">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1">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2">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4">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5">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A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ПРН12/ PLO12</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8">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9">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A">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C">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D">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E">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AF">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B0">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B1">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3B2">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ПРН13/ PLO13</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B3">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B4">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B5">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B6">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B7">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B8">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B9">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BA">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BB">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BC">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3BD">
            <w:pPr>
              <w:widowControl w:val="0"/>
              <w:pBdr>
                <w:top w:space="0" w:sz="0" w:val="nil"/>
                <w:left w:space="0" w:sz="0" w:val="nil"/>
                <w:bottom w:space="0" w:sz="0" w:val="nil"/>
                <w:right w:space="0" w:sz="0" w:val="nil"/>
                <w:between w:space="0" w:sz="0" w:val="nil"/>
              </w:pBdr>
              <w:spacing w:line="25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tl w:val="0"/>
              </w:rPr>
            </w:r>
          </w:p>
        </w:tc>
      </w:tr>
    </w:tbl>
    <w:p w:rsidR="00000000" w:rsidDel="00000000" w:rsidP="00000000" w:rsidRDefault="00000000" w:rsidRPr="00000000" w14:paraId="000003BE">
      <w:pPr>
        <w:widowControl w:val="0"/>
        <w:pBdr>
          <w:top w:color="ffffff" w:space="31" w:sz="4" w:val="single"/>
          <w:left w:color="ffffff" w:space="31" w:sz="4" w:val="single"/>
          <w:bottom w:color="ffffff" w:space="31" w:sz="4" w:val="single"/>
          <w:right w:color="ffffff" w:space="31" w:sz="4" w:val="single"/>
          <w:between w:space="0" w:sz="0" w:val="nil"/>
        </w:pBdr>
        <w:spacing w:line="256" w:lineRule="auto"/>
        <w:rPr>
          <w:rFonts w:ascii="Times New Roman" w:cs="Times New Roman" w:eastAsia="Times New Roman" w:hAnsi="Times New Roman"/>
          <w:sz w:val="24"/>
          <w:szCs w:val="24"/>
        </w:rPr>
        <w:sectPr>
          <w:type w:val="nextPage"/>
          <w:pgSz w:h="16838" w:w="11906" w:orient="portrait"/>
          <w:pgMar w:bottom="851" w:top="1418" w:left="1134" w:right="1134" w:header="720" w:footer="709"/>
        </w:sectPr>
      </w:pPr>
      <w:r w:rsidDel="00000000" w:rsidR="00000000" w:rsidRPr="00000000">
        <w:rPr>
          <w:rtl w:val="0"/>
        </w:rPr>
      </w:r>
    </w:p>
    <w:p w:rsidR="00000000" w:rsidDel="00000000" w:rsidP="00000000" w:rsidRDefault="00000000" w:rsidRPr="00000000" w14:paraId="000003BF">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8"/>
          <w:szCs w:val="28"/>
          <w:rtl w:val="0"/>
        </w:rPr>
        <w:t xml:space="preserve">8 ПЕРЕЛІК НОРМАТИВНИХ ДОКУМЕНТІВ, НА ЯКИХ БАЗУЄТЬСЯ ОСВІТНЯ ПРОГРАМА / LIST OF REGULATORY DOCUMENTS UNDERLYING THE EDUCATIONAL PROGRAMME</w:t>
      </w:r>
      <w:r w:rsidDel="00000000" w:rsidR="00000000" w:rsidRPr="00000000">
        <w:rPr>
          <w:rtl w:val="0"/>
        </w:rPr>
      </w:r>
    </w:p>
    <w:p w:rsidR="00000000" w:rsidDel="00000000" w:rsidP="00000000" w:rsidRDefault="00000000" w:rsidRPr="00000000" w14:paraId="000003C0">
      <w:pPr>
        <w:pBdr>
          <w:top w:space="0" w:sz="0" w:val="nil"/>
          <w:left w:space="0" w:sz="0" w:val="nil"/>
          <w:bottom w:space="0" w:sz="0" w:val="nil"/>
          <w:right w:space="0" w:sz="0" w:val="nil"/>
          <w:between w:space="0" w:sz="0" w:val="nil"/>
        </w:pBdr>
        <w:spacing w:after="60" w:before="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1">
      <w:pPr>
        <w:numPr>
          <w:ilvl w:val="0"/>
          <w:numId w:val="1"/>
        </w:numPr>
        <w:pBdr>
          <w:top w:space="0" w:sz="0" w:val="nil"/>
          <w:left w:space="0" w:sz="0" w:val="nil"/>
          <w:bottom w:space="0" w:sz="0" w:val="nil"/>
          <w:right w:space="0" w:sz="0" w:val="nil"/>
          <w:between w:space="0" w:sz="0" w:val="nil"/>
        </w:pBdr>
        <w:spacing w:after="60" w:before="60" w:lineRule="auto"/>
        <w:ind w:left="0"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Стандарт вищої освіти України: другий (магістерський) рівень, галузь знань 12 «Інформаційні технології», спеціальність 124 «Системний аналіз» : [Електронний ресурс] / Міністерство освіти і науки України. — Київ, 2021. — Режим доступу: </w:t>
      </w:r>
      <w:hyperlink r:id="rId26">
        <w:r w:rsidDel="00000000" w:rsidR="00000000" w:rsidRPr="00000000">
          <w:rPr>
            <w:rFonts w:ascii="Times New Roman" w:cs="Times New Roman" w:eastAsia="Times New Roman" w:hAnsi="Times New Roman"/>
            <w:sz w:val="28"/>
            <w:szCs w:val="28"/>
            <w:rtl w:val="0"/>
          </w:rPr>
          <w:t xml:space="preserve">https://mon.gov.ua/static-objects/mon/uploads/public/661/690/8b8/6616908b8c0c9738878471.pdf</w:t>
        </w:r>
      </w:hyperlink>
      <w:r w:rsidDel="00000000" w:rsidR="00000000" w:rsidRPr="00000000">
        <w:rPr>
          <w:rFonts w:ascii="Times New Roman" w:cs="Times New Roman" w:eastAsia="Times New Roman" w:hAnsi="Times New Roman"/>
          <w:sz w:val="28"/>
          <w:szCs w:val="28"/>
          <w:rtl w:val="0"/>
        </w:rPr>
        <w:t xml:space="preserve">. — Загол. з екрана.</w:t>
      </w:r>
    </w:p>
    <w:p w:rsidR="00000000" w:rsidDel="00000000" w:rsidP="00000000" w:rsidRDefault="00000000" w:rsidRPr="00000000" w14:paraId="000003C2">
      <w:pPr>
        <w:numPr>
          <w:ilvl w:val="0"/>
          <w:numId w:val="1"/>
        </w:numPr>
        <w:pBdr>
          <w:top w:space="0" w:sz="0" w:val="nil"/>
          <w:left w:space="0" w:sz="0" w:val="nil"/>
          <w:bottom w:space="0" w:sz="0" w:val="nil"/>
          <w:right w:space="0" w:sz="0" w:val="nil"/>
          <w:between w:space="0" w:sz="0" w:val="nil"/>
        </w:pBdr>
        <w:spacing w:after="60" w:before="60" w:lineRule="auto"/>
        <w:ind w:left="0"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Наказ від 28.06.2022 № 210 «Про затвердження “Порядку реалізації права на академічну мобільність учасників освітнього процесу Національного університету «Запорізька політехніка»» : [Електронний ресурс] / Національний університет «Запорізька політехніка». — Запоріжжя, 2022. — 18 с. — Режим доступу: </w:t>
      </w:r>
      <w:hyperlink r:id="rId27">
        <w:r w:rsidDel="00000000" w:rsidR="00000000" w:rsidRPr="00000000">
          <w:rPr>
            <w:rFonts w:ascii="Times New Roman" w:cs="Times New Roman" w:eastAsia="Times New Roman" w:hAnsi="Times New Roman"/>
            <w:sz w:val="28"/>
            <w:szCs w:val="28"/>
            <w:rtl w:val="0"/>
          </w:rPr>
          <w:t xml:space="preserve">https://zp.edu.ua/uploads/pubdocs/2022/Nakaz_N210_vid_28.06.22.pdf</w:t>
        </w:r>
      </w:hyperlink>
      <w:r w:rsidDel="00000000" w:rsidR="00000000" w:rsidRPr="00000000">
        <w:rPr>
          <w:rFonts w:ascii="Times New Roman" w:cs="Times New Roman" w:eastAsia="Times New Roman" w:hAnsi="Times New Roman"/>
          <w:sz w:val="28"/>
          <w:szCs w:val="28"/>
          <w:rtl w:val="0"/>
        </w:rPr>
        <w:t xml:space="preserve">. — Загол. з екрана.</w:t>
      </w:r>
    </w:p>
    <w:p w:rsidR="00000000" w:rsidDel="00000000" w:rsidP="00000000" w:rsidRDefault="00000000" w:rsidRPr="00000000" w14:paraId="000003C3">
      <w:pPr>
        <w:numPr>
          <w:ilvl w:val="0"/>
          <w:numId w:val="1"/>
        </w:numPr>
        <w:pBdr>
          <w:top w:space="0" w:sz="0" w:val="nil"/>
          <w:left w:space="0" w:sz="0" w:val="nil"/>
          <w:bottom w:space="0" w:sz="0" w:val="nil"/>
          <w:right w:space="0" w:sz="0" w:val="nil"/>
          <w:between w:space="0" w:sz="0" w:val="nil"/>
        </w:pBdr>
        <w:spacing w:after="60" w:before="60" w:lineRule="auto"/>
        <w:ind w:left="0"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Положення про організацію набору та навчання (стажування) іноземців та осіб без громадянства в Національному університеті «Запорізька політехніка» : [Електронний ресурс] / Національний університет «Запорізька політехніка». — Запоріжжя, 2020. — 4 с. — Режим доступу: https://zp.edu.ua/uploads/dept_inter/pol_pro_org_naboru_ta_navch_inozemtsiv.pdf. — Загол. з екрана.</w:t>
      </w:r>
    </w:p>
    <w:p w:rsidR="00000000" w:rsidDel="00000000" w:rsidP="00000000" w:rsidRDefault="00000000" w:rsidRPr="00000000" w14:paraId="000003C4">
      <w:pPr>
        <w:numPr>
          <w:ilvl w:val="0"/>
          <w:numId w:val="1"/>
        </w:numPr>
        <w:pBdr>
          <w:top w:space="0" w:sz="0" w:val="nil"/>
          <w:left w:space="0" w:sz="0" w:val="nil"/>
          <w:bottom w:space="0" w:sz="0" w:val="nil"/>
          <w:right w:space="0" w:sz="0" w:val="nil"/>
          <w:between w:space="0" w:sz="0" w:val="nil"/>
        </w:pBdr>
        <w:spacing w:after="60" w:before="60" w:lineRule="auto"/>
        <w:ind w:left="0"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вищу освіту : Закон України від 01.07.2014 № 1556-VII (поточна редакція станом на 22.09.2025) : [Електронний ресурс]. — Київ : Верховна Рада України, База даних «Законодавство України». — Режим доступу: </w:t>
      </w:r>
      <w:hyperlink r:id="rId28">
        <w:r w:rsidDel="00000000" w:rsidR="00000000" w:rsidRPr="00000000">
          <w:rPr>
            <w:rFonts w:ascii="Times New Roman" w:cs="Times New Roman" w:eastAsia="Times New Roman" w:hAnsi="Times New Roman"/>
            <w:sz w:val="28"/>
            <w:szCs w:val="28"/>
            <w:rtl w:val="0"/>
          </w:rPr>
          <w:t xml:space="preserve">https://zakon.rada.gov.ua/laws/show/1556-18#Text</w:t>
        </w:r>
      </w:hyperlink>
      <w:r w:rsidDel="00000000" w:rsidR="00000000" w:rsidRPr="00000000">
        <w:rPr>
          <w:rFonts w:ascii="Times New Roman" w:cs="Times New Roman" w:eastAsia="Times New Roman" w:hAnsi="Times New Roman"/>
          <w:sz w:val="28"/>
          <w:szCs w:val="28"/>
          <w:rtl w:val="0"/>
        </w:rPr>
        <w:t xml:space="preserve">. — Загол. з екрана.</w:t>
      </w:r>
    </w:p>
    <w:p w:rsidR="00000000" w:rsidDel="00000000" w:rsidP="00000000" w:rsidRDefault="00000000" w:rsidRPr="00000000" w14:paraId="000003C5">
      <w:pPr>
        <w:numPr>
          <w:ilvl w:val="0"/>
          <w:numId w:val="1"/>
        </w:numPr>
        <w:pBdr>
          <w:top w:space="0" w:sz="0" w:val="nil"/>
          <w:left w:space="0" w:sz="0" w:val="nil"/>
          <w:bottom w:space="0" w:sz="0" w:val="nil"/>
          <w:right w:space="0" w:sz="0" w:val="nil"/>
          <w:between w:space="0" w:sz="0" w:val="nil"/>
        </w:pBdr>
        <w:spacing w:after="60" w:before="60" w:lineRule="auto"/>
        <w:ind w:left="0" w:firstLine="709"/>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28"/>
          <w:szCs w:val="28"/>
          <w:rtl w:val="0"/>
        </w:rPr>
        <w:t xml:space="preserve">Про освіту : Закон України від 05.09.2017 № 2145-VIII : [Електронний ресурс]. — Київ : Верховна Рада України, БД «Законодавство України». — Режим доступу: https://zakon.rada.gov.ua/go/2145-19. — Загол. з екрана.</w:t>
      </w:r>
      <w:r w:rsidDel="00000000" w:rsidR="00000000" w:rsidRPr="00000000">
        <w:rPr>
          <w:rtl w:val="0"/>
        </w:rPr>
      </w:r>
    </w:p>
    <w:p w:rsidR="00000000" w:rsidDel="00000000" w:rsidP="00000000" w:rsidRDefault="00000000" w:rsidRPr="00000000" w14:paraId="000003C6">
      <w:pPr>
        <w:numPr>
          <w:ilvl w:val="0"/>
          <w:numId w:val="1"/>
        </w:numPr>
        <w:pBdr>
          <w:top w:space="0" w:sz="0" w:val="nil"/>
          <w:left w:space="0" w:sz="0" w:val="nil"/>
          <w:bottom w:space="0" w:sz="0" w:val="nil"/>
          <w:right w:space="0" w:sz="0" w:val="nil"/>
          <w:between w:space="0" w:sz="0" w:val="nil"/>
        </w:pBdr>
        <w:spacing w:after="60" w:before="60" w:lineRule="auto"/>
        <w:ind w:left="0" w:firstLine="709"/>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28"/>
          <w:szCs w:val="28"/>
          <w:rtl w:val="0"/>
        </w:rPr>
        <w:t xml:space="preserve">Про внесення змін до переліку галузей знань і спеціальностей, за якими здійснюється підготовка здобувачів вищої та фахової передвищої освіти : Постанова Кабінету Міністрів України від 30.08.2024 № 1021 : [Електронний ресурс]. — Київ : КМУ. — Режим доступу: https://zakon.rada.gov.ua/laws/show/1021-2024-%D0%BF#Text. — Загол. з екрана.</w:t>
      </w:r>
      <w:r w:rsidDel="00000000" w:rsidR="00000000" w:rsidRPr="00000000">
        <w:rPr>
          <w:rtl w:val="0"/>
        </w:rPr>
      </w:r>
    </w:p>
    <w:p w:rsidR="00000000" w:rsidDel="00000000" w:rsidP="00000000" w:rsidRDefault="00000000" w:rsidRPr="00000000" w14:paraId="000003C7">
      <w:pPr>
        <w:numPr>
          <w:ilvl w:val="0"/>
          <w:numId w:val="1"/>
        </w:numPr>
        <w:pBdr>
          <w:top w:space="0" w:sz="0" w:val="nil"/>
          <w:left w:space="0" w:sz="0" w:val="nil"/>
          <w:bottom w:space="0" w:sz="0" w:val="nil"/>
          <w:right w:space="0" w:sz="0" w:val="nil"/>
          <w:between w:space="0" w:sz="0" w:val="nil"/>
        </w:pBdr>
        <w:spacing w:after="60" w:before="60" w:lineRule="auto"/>
        <w:ind w:left="0"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затвердження Національної рамки кваліфікацій : Постанова Кабінету Міністрів України від 23.11.2011 № 1341 : [Електронний ресурс]. — Київ : Верховна Рада України, База даних «Законодавство України». — Режим доступу: </w:t>
      </w:r>
      <w:hyperlink r:id="rId29">
        <w:r w:rsidDel="00000000" w:rsidR="00000000" w:rsidRPr="00000000">
          <w:rPr>
            <w:rFonts w:ascii="Times New Roman" w:cs="Times New Roman" w:eastAsia="Times New Roman" w:hAnsi="Times New Roman"/>
            <w:sz w:val="28"/>
            <w:szCs w:val="28"/>
            <w:rtl w:val="0"/>
          </w:rPr>
          <w:t xml:space="preserve">https://zakon.rada.gov.ua/laws/show/1341-2011-%D0%BF#Text</w:t>
        </w:r>
      </w:hyperlink>
      <w:r w:rsidDel="00000000" w:rsidR="00000000" w:rsidRPr="00000000">
        <w:rPr>
          <w:rFonts w:ascii="Times New Roman" w:cs="Times New Roman" w:eastAsia="Times New Roman" w:hAnsi="Times New Roman"/>
          <w:sz w:val="28"/>
          <w:szCs w:val="28"/>
          <w:rtl w:val="0"/>
        </w:rPr>
        <w:t xml:space="preserve">. — Загол. з екрана.</w:t>
      </w:r>
    </w:p>
    <w:p w:rsidR="00000000" w:rsidDel="00000000" w:rsidP="00000000" w:rsidRDefault="00000000" w:rsidRPr="00000000" w14:paraId="000003C8">
      <w:pPr>
        <w:numPr>
          <w:ilvl w:val="0"/>
          <w:numId w:val="1"/>
        </w:numPr>
        <w:pBdr>
          <w:top w:space="0" w:sz="0" w:val="nil"/>
          <w:left w:space="0" w:sz="0" w:val="nil"/>
          <w:bottom w:space="0" w:sz="0" w:val="nil"/>
          <w:right w:space="0" w:sz="0" w:val="nil"/>
          <w:between w:space="0" w:sz="0" w:val="nil"/>
        </w:pBdr>
        <w:spacing w:after="60" w:before="60" w:lineRule="auto"/>
        <w:ind w:left="0" w:firstLine="709"/>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28"/>
          <w:szCs w:val="28"/>
          <w:rtl w:val="0"/>
        </w:rPr>
        <w:t xml:space="preserve">Про затвердження Ліцензійних умов провадження освітньої діяльності : Постанова Кабінету Міністрів України від 30.12.2015 № 1187 (чинна ред.) : [Електронний ресурс]. — Київ : КМУ. — Режим доступу: https://zakon.rada.gov.ua/go/1187-2015-%D0%BF. — Загол. з екрана.</w:t>
      </w:r>
      <w:r w:rsidDel="00000000" w:rsidR="00000000" w:rsidRPr="00000000">
        <w:rPr>
          <w:rtl w:val="0"/>
        </w:rPr>
      </w:r>
    </w:p>
    <w:p w:rsidR="00000000" w:rsidDel="00000000" w:rsidP="00000000" w:rsidRDefault="00000000" w:rsidRPr="00000000" w14:paraId="000003C9">
      <w:pPr>
        <w:numPr>
          <w:ilvl w:val="0"/>
          <w:numId w:val="1"/>
        </w:numPr>
        <w:pBdr>
          <w:top w:space="0" w:sz="0" w:val="nil"/>
          <w:left w:space="0" w:sz="0" w:val="nil"/>
          <w:bottom w:space="0" w:sz="0" w:val="nil"/>
          <w:right w:space="0" w:sz="0" w:val="nil"/>
          <w:between w:space="0" w:sz="0" w:val="nil"/>
        </w:pBdr>
        <w:spacing w:after="60" w:before="60" w:lineRule="auto"/>
        <w:ind w:left="0" w:firstLine="709"/>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28"/>
          <w:szCs w:val="28"/>
          <w:rtl w:val="0"/>
        </w:rPr>
        <w:t xml:space="preserve">Про затвердження Положення про акредитацію освітніх програм, за якими здійснюється підготовка здобувачів вищої освіти : Наказ Міністерства освіти і науки України від 15.05.2024 № 686 (зареєстровано в Мін’юсті України 04.07.2024 за № 1013/42358; набрання чинності з 01.08.2024) : [Електронний ресурс]. — Київ : МОН України, 2024. — Режим доступу: https://zakon.rada.gov.ua/laws/show/z1013-24#n7. — Загол. з екрана.</w:t>
      </w:r>
      <w:r w:rsidDel="00000000" w:rsidR="00000000" w:rsidRPr="00000000">
        <w:rPr>
          <w:rtl w:val="0"/>
        </w:rPr>
      </w:r>
    </w:p>
    <w:p w:rsidR="00000000" w:rsidDel="00000000" w:rsidP="00000000" w:rsidRDefault="00000000" w:rsidRPr="00000000" w14:paraId="000003CA">
      <w:pPr>
        <w:numPr>
          <w:ilvl w:val="0"/>
          <w:numId w:val="1"/>
        </w:numPr>
        <w:pBdr>
          <w:top w:space="0" w:sz="0" w:val="nil"/>
          <w:left w:space="0" w:sz="0" w:val="nil"/>
          <w:bottom w:space="0" w:sz="0" w:val="nil"/>
          <w:right w:space="0" w:sz="0" w:val="nil"/>
          <w:between w:space="0" w:sz="0" w:val="nil"/>
        </w:pBdr>
        <w:spacing w:after="60" w:before="60" w:lineRule="auto"/>
        <w:ind w:left="0"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Класифікатор професій: Пошук : [Електронний ресурс] / Міністерство економіки України. — Київ, 2024–2025. — Режим доступу: https://me.gov.ua/Profession/List?lang=uk-UA&amp;id=d4162ef8-2771-4ac5-99ef-1d4b6f5336af&amp;tag=KlasifikatorProfesii-Poshuk. — Загол. з екрана.</w:t>
      </w:r>
    </w:p>
    <w:sectPr>
      <w:type w:val="nextPage"/>
      <w:pgSz w:h="16838" w:w="11906" w:orient="portrait"/>
      <w:pgMar w:bottom="851" w:top="1418" w:left="1134" w:right="1134" w:header="720"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E">
    <w:pPr>
      <w:widowControl w:val="0"/>
      <w:pBdr>
        <w:top w:color="ffffff" w:space="31" w:sz="4" w:val="single"/>
        <w:left w:color="ffffff" w:space="31" w:sz="4" w:val="single"/>
        <w:bottom w:color="ffffff" w:space="31" w:sz="4" w:val="single"/>
        <w:right w:color="ffffff" w:space="31" w:sz="4" w:val="single"/>
        <w:between w:space="0" w:sz="0" w:val="nil"/>
      </w:pBdr>
      <w:tabs>
        <w:tab w:val="center" w:leader="none" w:pos="4677"/>
        <w:tab w:val="right" w:leader="none" w:pos="9355"/>
      </w:tabs>
      <w:spacing w:after="160" w:line="256" w:lineRule="auto"/>
      <w:rPr>
        <w:color w:val="000000"/>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3008318</wp:posOffset>
              </wp:positionH>
              <wp:positionV relativeFrom="paragraph">
                <wp:posOffset>-14283</wp:posOffset>
              </wp:positionV>
              <wp:extent cx="100968" cy="183510"/>
              <wp:effectExtent b="0" l="0" r="0" t="0"/>
              <wp:wrapSquare wrapText="bothSides" distB="0" distT="0" distL="114300" distR="114300"/>
              <wp:docPr id="46" name=""/>
              <a:graphic>
                <a:graphicData uri="http://schemas.microsoft.com/office/word/2010/wordprocessingShape">
                  <wps:wsp>
                    <wps:cNvSpPr/>
                    <wps:cNvPr id="2" name="Shape 2"/>
                    <wps:spPr>
                      <a:xfrm>
                        <a:off x="5309804" y="3702533"/>
                        <a:ext cx="72393" cy="154935"/>
                      </a:xfrm>
                      <a:prstGeom prst="rect">
                        <a:avLst/>
                      </a:prstGeom>
                      <a:solidFill>
                        <a:srgbClr val="FFFFFF"/>
                      </a:solidFill>
                      <a:ln>
                        <a:noFill/>
                      </a:ln>
                    </wps:spPr>
                    <wps:txbx>
                      <w:txbxContent>
                        <w:p w:rsidR="00000000" w:rsidDel="00000000" w:rsidP="00000000" w:rsidRDefault="00000000" w:rsidRPr="00000000">
                          <w:pPr>
                            <w:spacing w:after="160" w:before="0" w:line="255"/>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2</w:t>
                          </w:r>
                        </w:p>
                        <w:p w:rsidR="00000000" w:rsidDel="00000000" w:rsidP="00000000" w:rsidRDefault="00000000" w:rsidRPr="00000000">
                          <w:pPr>
                            <w:spacing w:after="160" w:before="0" w:line="255"/>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00" spcFirstLastPara="1" rIns="91400"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3008318</wp:posOffset>
              </wp:positionH>
              <wp:positionV relativeFrom="paragraph">
                <wp:posOffset>-14283</wp:posOffset>
              </wp:positionV>
              <wp:extent cx="100968" cy="183510"/>
              <wp:effectExtent b="0" l="0" r="0" t="0"/>
              <wp:wrapSquare wrapText="bothSides" distB="0" distT="0" distL="114300" distR="114300"/>
              <wp:docPr id="4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00968" cy="18351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0">
    <w:pPr>
      <w:widowControl w:val="0"/>
      <w:pBdr>
        <w:top w:color="ffffff" w:space="31" w:sz="4" w:val="single"/>
        <w:left w:color="ffffff" w:space="31" w:sz="4" w:val="single"/>
        <w:bottom w:color="ffffff" w:space="31" w:sz="4" w:val="single"/>
        <w:right w:color="ffffff" w:space="31" w:sz="4" w:val="single"/>
        <w:between w:space="0" w:sz="0" w:val="nil"/>
      </w:pBdr>
      <w:tabs>
        <w:tab w:val="center" w:leader="none" w:pos="4677"/>
        <w:tab w:val="right" w:leader="none" w:pos="9355"/>
      </w:tabs>
      <w:spacing w:after="160" w:line="256" w:lineRule="auto"/>
      <w:rPr>
        <w:color w:val="000000"/>
        <w:sz w:val="22"/>
        <w:szCs w:val="2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B">
    <w:pPr>
      <w:pBdr>
        <w:top w:space="0" w:sz="0" w:val="nil"/>
        <w:left w:space="0" w:sz="0" w:val="nil"/>
        <w:bottom w:space="0" w:sz="0" w:val="nil"/>
        <w:right w:space="0" w:sz="0" w:val="nil"/>
        <w:between w:space="0" w:sz="0" w:val="nil"/>
      </w:pBdr>
      <w:tabs>
        <w:tab w:val="center" w:leader="none" w:pos="4677"/>
        <w:tab w:val="right" w:leader="none" w:pos="9355"/>
      </w:tabs>
      <w:spacing w:after="160" w:line="256" w:lineRule="auto"/>
      <w:jc w:val="righ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3CC">
    <w:pPr>
      <w:pBdr>
        <w:top w:space="0" w:sz="0" w:val="nil"/>
        <w:left w:space="0" w:sz="0" w:val="nil"/>
        <w:bottom w:space="0" w:sz="0" w:val="nil"/>
        <w:right w:space="0" w:sz="0" w:val="nil"/>
        <w:between w:space="0" w:sz="0" w:val="nil"/>
      </w:pBdr>
      <w:tabs>
        <w:tab w:val="center" w:leader="none" w:pos="4677"/>
        <w:tab w:val="right" w:leader="none" w:pos="9355"/>
      </w:tabs>
      <w:spacing w:after="160" w:line="256" w:lineRule="auto"/>
      <w:rPr>
        <w:color w:val="000000"/>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D">
    <w:pPr>
      <w:pBdr>
        <w:top w:space="0" w:sz="0" w:val="nil"/>
        <w:left w:space="0" w:sz="0" w:val="nil"/>
        <w:bottom w:space="0" w:sz="0" w:val="nil"/>
        <w:right w:space="0" w:sz="0" w:val="nil"/>
        <w:between w:space="0" w:sz="0" w:val="nil"/>
      </w:pBdr>
      <w:tabs>
        <w:tab w:val="center" w:leader="none" w:pos="4677"/>
        <w:tab w:val="right" w:leader="none" w:pos="9355"/>
      </w:tabs>
      <w:spacing w:after="160" w:line="256" w:lineRule="auto"/>
      <w:jc w:val="right"/>
      <w:rPr>
        <w:rFonts w:ascii="Times New Roman" w:cs="Times New Roman" w:eastAsia="Times New Roman" w:hAnsi="Times New Roman"/>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260" w:hanging="360"/>
      </w:pPr>
      <w:rPr>
        <w:rFonts w:ascii="Times New Roman" w:cs="Times New Roman" w:eastAsia="Times New Roman" w:hAnsi="Times New Roman"/>
        <w:b w:val="0"/>
        <w:sz w:val="28"/>
        <w:szCs w:val="28"/>
      </w:rPr>
    </w:lvl>
    <w:lvl w:ilvl="1">
      <w:start w:val="1"/>
      <w:numFmt w:val="lowerLetter"/>
      <w:lvlText w:val="%2."/>
      <w:lvlJc w:val="left"/>
      <w:pPr>
        <w:ind w:left="1980" w:hanging="360"/>
      </w:pPr>
      <w:rPr/>
    </w:lvl>
    <w:lvl w:ilvl="2">
      <w:start w:val="1"/>
      <w:numFmt w:val="lowerRoman"/>
      <w:lvlText w:val="%3."/>
      <w:lvlJc w:val="right"/>
      <w:pPr>
        <w:ind w:left="2700" w:hanging="180"/>
      </w:pPr>
      <w:rPr/>
    </w:lvl>
    <w:lvl w:ilvl="3">
      <w:start w:val="1"/>
      <w:numFmt w:val="decimal"/>
      <w:lvlText w:val="%4."/>
      <w:lvlJc w:val="left"/>
      <w:pPr>
        <w:ind w:left="3420" w:hanging="360"/>
      </w:pPr>
      <w:rPr/>
    </w:lvl>
    <w:lvl w:ilvl="4">
      <w:start w:val="1"/>
      <w:numFmt w:val="lowerLetter"/>
      <w:lvlText w:val="%5."/>
      <w:lvlJc w:val="left"/>
      <w:pPr>
        <w:ind w:left="4140" w:hanging="360"/>
      </w:pPr>
      <w:rPr/>
    </w:lvl>
    <w:lvl w:ilvl="5">
      <w:start w:val="1"/>
      <w:numFmt w:val="lowerRoman"/>
      <w:lvlText w:val="%6."/>
      <w:lvlJc w:val="right"/>
      <w:pPr>
        <w:ind w:left="4860" w:hanging="180"/>
      </w:pPr>
      <w:rPr/>
    </w:lvl>
    <w:lvl w:ilvl="6">
      <w:start w:val="1"/>
      <w:numFmt w:val="decimal"/>
      <w:lvlText w:val="%7."/>
      <w:lvlJc w:val="left"/>
      <w:pPr>
        <w:ind w:left="5580" w:hanging="360"/>
      </w:pPr>
      <w:rPr/>
    </w:lvl>
    <w:lvl w:ilvl="7">
      <w:start w:val="1"/>
      <w:numFmt w:val="lowerLetter"/>
      <w:lvlText w:val="%8."/>
      <w:lvlJc w:val="left"/>
      <w:pPr>
        <w:ind w:left="6300" w:hanging="360"/>
      </w:pPr>
      <w:rPr/>
    </w:lvl>
    <w:lvl w:ilvl="8">
      <w:start w:val="1"/>
      <w:numFmt w:val="lowerRoman"/>
      <w:lvlText w:val="%9."/>
      <w:lvlJc w:val="right"/>
      <w:pPr>
        <w:ind w:left="70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pBdr>
        <w:top w:space="0" w:sz="0" w:val="nil"/>
        <w:left w:space="0" w:sz="0" w:val="nil"/>
        <w:bottom w:space="0" w:sz="0" w:val="nil"/>
        <w:right w:space="0" w:sz="0" w:val="nil"/>
        <w:between w:space="0" w:sz="0" w:val="nil"/>
      </w:pBdr>
      <w:tabs>
        <w:tab w:val="left" w:leader="none" w:pos="720"/>
      </w:tabs>
      <w:spacing w:after="60" w:before="240" w:lineRule="auto"/>
      <w:ind w:left="720" w:hanging="720"/>
    </w:pPr>
    <w:rPr>
      <w:rFonts w:ascii="Arial" w:cs="Arial" w:eastAsia="Arial" w:hAnsi="Arial"/>
      <w:b w:val="1"/>
      <w:color w:val="000000"/>
      <w:sz w:val="32"/>
      <w:szCs w:val="32"/>
    </w:rPr>
  </w:style>
  <w:style w:type="paragraph" w:styleId="Heading2">
    <w:name w:val="heading 2"/>
    <w:basedOn w:val="Normal"/>
    <w:next w:val="Normal"/>
    <w:pPr>
      <w:pageBreakBefore w:val="1"/>
      <w:widowControl w:val="0"/>
      <w:pBdr>
        <w:top w:space="0" w:sz="0" w:val="nil"/>
        <w:left w:space="0" w:sz="0" w:val="nil"/>
        <w:bottom w:space="0" w:sz="0" w:val="nil"/>
        <w:right w:space="0" w:sz="0" w:val="nil"/>
        <w:between w:space="0" w:sz="0" w:val="nil"/>
      </w:pBdr>
      <w:shd w:fill="ffffff" w:val="clear"/>
      <w:tabs>
        <w:tab w:val="left" w:leader="none" w:pos="1134"/>
        <w:tab w:val="left" w:leader="none" w:pos="1440"/>
      </w:tabs>
      <w:ind w:left="1440" w:hanging="720"/>
      <w:jc w:val="center"/>
    </w:pPr>
    <w:rPr>
      <w:rFonts w:ascii="Times New Roman" w:cs="Times New Roman" w:eastAsia="Times New Roman" w:hAnsi="Times New Roman"/>
      <w:color w:val="000000"/>
      <w:sz w:val="28"/>
      <w:szCs w:val="28"/>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rFonts w:ascii="Times New Roman" w:cs="Times New Roman" w:eastAsia="Times New Roman" w:hAnsi="Times New Roman"/>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rFonts w:ascii="Times New Roman" w:cs="Times New Roman" w:eastAsia="Times New Roman" w:hAnsi="Times New Roman"/>
      <w:b w:val="1"/>
      <w:color w:val="000000"/>
      <w:sz w:val="24"/>
      <w:szCs w:val="24"/>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rFonts w:ascii="Times New Roman" w:cs="Times New Roman" w:eastAsia="Times New Roman" w:hAnsi="Times New Roman"/>
      <w:b w:val="1"/>
      <w:color w:val="000000"/>
      <w:sz w:val="22"/>
      <w:szCs w:val="22"/>
    </w:rPr>
  </w:style>
  <w:style w:type="paragraph" w:styleId="Heading6">
    <w:name w:val="heading 6"/>
    <w:basedOn w:val="Normal"/>
    <w:next w:val="Normal"/>
    <w:pPr>
      <w:pBdr>
        <w:top w:space="0" w:sz="0" w:val="nil"/>
        <w:left w:space="0" w:sz="0" w:val="nil"/>
        <w:bottom w:space="0" w:sz="0" w:val="nil"/>
        <w:right w:space="0" w:sz="0" w:val="nil"/>
        <w:between w:space="0" w:sz="0" w:val="nil"/>
      </w:pBdr>
      <w:tabs>
        <w:tab w:val="left" w:leader="none" w:pos="4320"/>
      </w:tabs>
      <w:spacing w:after="60" w:before="240" w:lineRule="auto"/>
      <w:ind w:left="4320" w:hanging="720"/>
    </w:pPr>
    <w:rPr>
      <w:b w:val="1"/>
      <w:color w:val="000000"/>
      <w:sz w:val="22"/>
      <w:szCs w:val="22"/>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numbering" w:styleId="WWOutlineListStyle" w:customStyle="1">
    <w:name w:val="WW_OutlineListStyle"/>
    <w:basedOn w:val="a2"/>
  </w:style>
  <w:style w:type="paragraph" w:styleId="10" w:customStyle="1">
    <w:name w:val="Звичайний1"/>
    <w:pPr>
      <w:suppressAutoHyphens w:val="1"/>
      <w:spacing w:after="160" w:line="256" w:lineRule="auto"/>
    </w:pPr>
    <w:rPr>
      <w:sz w:val="22"/>
      <w:szCs w:val="22"/>
    </w:rPr>
  </w:style>
  <w:style w:type="character" w:styleId="a4" w:customStyle="1">
    <w:name w:val="Шрифт абзацу за замовчуванням"/>
  </w:style>
  <w:style w:type="character" w:styleId="a5" w:customStyle="1">
    <w:name w:val="Основной текст_"/>
    <w:rPr>
      <w:rFonts w:ascii="Times New Roman" w:cs="Times New Roman" w:eastAsia="Times New Roman" w:hAnsi="Times New Roman"/>
      <w:color w:val="232325"/>
      <w:sz w:val="28"/>
      <w:szCs w:val="28"/>
    </w:rPr>
  </w:style>
  <w:style w:type="character" w:styleId="30" w:customStyle="1">
    <w:name w:val="Основной текст (3)_"/>
    <w:rPr>
      <w:rFonts w:ascii="Times New Roman" w:cs="Times New Roman" w:eastAsia="Times New Roman" w:hAnsi="Times New Roman"/>
      <w:b w:val="1"/>
      <w:bCs w:val="1"/>
      <w:color w:val="232325"/>
    </w:rPr>
  </w:style>
  <w:style w:type="paragraph" w:styleId="11" w:customStyle="1">
    <w:name w:val="Основной текст1"/>
    <w:basedOn w:val="10"/>
    <w:pPr>
      <w:widowControl w:val="0"/>
      <w:spacing w:after="0" w:line="240" w:lineRule="auto"/>
    </w:pPr>
    <w:rPr>
      <w:rFonts w:ascii="Times New Roman" w:eastAsia="Times New Roman" w:hAnsi="Times New Roman"/>
      <w:color w:val="232325"/>
      <w:sz w:val="28"/>
      <w:szCs w:val="28"/>
    </w:rPr>
  </w:style>
  <w:style w:type="paragraph" w:styleId="31" w:customStyle="1">
    <w:name w:val="Основной текст (3)"/>
    <w:basedOn w:val="10"/>
    <w:pPr>
      <w:widowControl w:val="0"/>
      <w:spacing w:after="60" w:line="240" w:lineRule="auto"/>
      <w:jc w:val="center"/>
    </w:pPr>
    <w:rPr>
      <w:rFonts w:ascii="Times New Roman" w:eastAsia="Times New Roman" w:hAnsi="Times New Roman"/>
      <w:b w:val="1"/>
      <w:bCs w:val="1"/>
      <w:color w:val="232325"/>
    </w:rPr>
  </w:style>
  <w:style w:type="paragraph" w:styleId="12" w:customStyle="1">
    <w:name w:val="Абзац списку1"/>
    <w:basedOn w:val="10"/>
    <w:pPr>
      <w:ind w:left="720"/>
    </w:pPr>
  </w:style>
  <w:style w:type="character" w:styleId="20" w:customStyle="1">
    <w:name w:val="Основной текст (2)_"/>
    <w:rPr>
      <w:rFonts w:ascii="Arial" w:cs="Arial" w:eastAsia="Arial" w:hAnsi="Arial"/>
      <w:color w:val="302f32"/>
      <w:sz w:val="19"/>
      <w:szCs w:val="19"/>
    </w:rPr>
  </w:style>
  <w:style w:type="paragraph" w:styleId="21" w:customStyle="1">
    <w:name w:val="Основной текст (2)"/>
    <w:basedOn w:val="10"/>
    <w:pPr>
      <w:widowControl w:val="0"/>
      <w:spacing w:after="0" w:line="276" w:lineRule="auto"/>
    </w:pPr>
    <w:rPr>
      <w:rFonts w:ascii="Arial" w:cs="Arial" w:eastAsia="Arial" w:hAnsi="Arial"/>
      <w:color w:val="302f32"/>
      <w:sz w:val="19"/>
      <w:szCs w:val="19"/>
    </w:rPr>
  </w:style>
  <w:style w:type="paragraph" w:styleId="Default" w:customStyle="1">
    <w:name w:val="Default"/>
    <w:pPr>
      <w:suppressAutoHyphens w:val="1"/>
      <w:autoSpaceDE w:val="0"/>
    </w:pPr>
    <w:rPr>
      <w:rFonts w:ascii="Times New Roman" w:hAnsi="Times New Roman"/>
      <w:color w:val="000000"/>
      <w:sz w:val="24"/>
      <w:szCs w:val="24"/>
      <w:lang w:val="ru-RU"/>
    </w:rPr>
  </w:style>
  <w:style w:type="character" w:styleId="rvts0" w:customStyle="1">
    <w:name w:val="rvts0"/>
  </w:style>
  <w:style w:type="paragraph" w:styleId="a6" w:customStyle="1">
    <w:name w:val="Нормальний текст"/>
    <w:pPr>
      <w:pBdr>
        <w:top w:color="ffffff" w:shadow="1" w:space="31" w:sz="2" w:val="single"/>
        <w:left w:color="ffffff" w:shadow="1" w:space="31" w:sz="2" w:val="single"/>
        <w:bottom w:color="ffffff" w:shadow="1" w:space="31" w:sz="2" w:val="single"/>
        <w:right w:color="ffffff" w:shadow="1" w:space="31" w:sz="2" w:val="single"/>
      </w:pBdr>
      <w:suppressAutoHyphens w:val="1"/>
      <w:spacing w:before="120"/>
      <w:ind w:firstLine="567"/>
    </w:pPr>
    <w:rPr>
      <w:rFonts w:ascii="Century Gothic" w:cs="Arial Unicode MS" w:eastAsia="Arial Unicode MS" w:hAnsi="Century Gothic"/>
      <w:color w:val="000000"/>
      <w:sz w:val="26"/>
      <w:szCs w:val="26"/>
    </w:rPr>
  </w:style>
  <w:style w:type="paragraph" w:styleId="a7" w:customStyle="1">
    <w:name w:val="Назва документа"/>
    <w:next w:val="a6"/>
    <w:pPr>
      <w:keepNext w:val="1"/>
      <w:keepLines w:val="1"/>
      <w:pBdr>
        <w:top w:color="ffffff" w:shadow="1" w:space="31" w:sz="2" w:val="single"/>
        <w:left w:color="ffffff" w:shadow="1" w:space="31" w:sz="2" w:val="single"/>
        <w:bottom w:color="ffffff" w:shadow="1" w:space="31" w:sz="2" w:val="single"/>
        <w:right w:color="ffffff" w:shadow="1" w:space="31" w:sz="2" w:val="single"/>
      </w:pBdr>
      <w:suppressAutoHyphens w:val="1"/>
      <w:spacing w:after="240" w:before="240"/>
      <w:jc w:val="center"/>
    </w:pPr>
    <w:rPr>
      <w:rFonts w:ascii="Century Gothic" w:cs="Arial Unicode MS" w:eastAsia="Arial Unicode MS" w:hAnsi="Century Gothic"/>
      <w:b w:val="1"/>
      <w:bCs w:val="1"/>
      <w:color w:val="000000"/>
      <w:sz w:val="26"/>
      <w:szCs w:val="26"/>
    </w:rPr>
  </w:style>
  <w:style w:type="character" w:styleId="a8" w:customStyle="1">
    <w:name w:val="Другое_"/>
    <w:rPr>
      <w:rFonts w:ascii="Arial" w:cs="Arial" w:eastAsia="Arial" w:hAnsi="Arial"/>
      <w:color w:val="302f32"/>
      <w:sz w:val="19"/>
      <w:szCs w:val="19"/>
    </w:rPr>
  </w:style>
  <w:style w:type="paragraph" w:styleId="a9" w:customStyle="1">
    <w:name w:val="Другое"/>
    <w:basedOn w:val="10"/>
    <w:pPr>
      <w:widowControl w:val="0"/>
      <w:spacing w:after="0" w:line="240" w:lineRule="auto"/>
    </w:pPr>
    <w:rPr>
      <w:rFonts w:ascii="Arial" w:cs="Arial" w:eastAsia="Arial" w:hAnsi="Arial"/>
      <w:color w:val="302f32"/>
      <w:sz w:val="19"/>
      <w:szCs w:val="19"/>
    </w:rPr>
  </w:style>
  <w:style w:type="character" w:styleId="50" w:customStyle="1">
    <w:name w:val="Основной текст (5)_"/>
    <w:rPr>
      <w:rFonts w:ascii="Times New Roman" w:cs="Times New Roman" w:eastAsia="Times New Roman" w:hAnsi="Times New Roman"/>
      <w:b w:val="1"/>
      <w:bCs w:val="1"/>
      <w:sz w:val="36"/>
      <w:szCs w:val="36"/>
    </w:rPr>
  </w:style>
  <w:style w:type="paragraph" w:styleId="51" w:customStyle="1">
    <w:name w:val="Основной текст (5)"/>
    <w:basedOn w:val="10"/>
    <w:pPr>
      <w:widowControl w:val="0"/>
      <w:spacing w:after="200" w:line="240" w:lineRule="auto"/>
      <w:jc w:val="center"/>
    </w:pPr>
    <w:rPr>
      <w:rFonts w:ascii="Times New Roman" w:eastAsia="Times New Roman" w:hAnsi="Times New Roman"/>
      <w:b w:val="1"/>
      <w:bCs w:val="1"/>
      <w:sz w:val="36"/>
      <w:szCs w:val="36"/>
    </w:rPr>
  </w:style>
  <w:style w:type="character" w:styleId="13" w:customStyle="1">
    <w:name w:val="Заголовок 1 Знак"/>
    <w:rPr>
      <w:rFonts w:ascii="Arial" w:cs="Arial" w:hAnsi="Arial"/>
      <w:b w:val="1"/>
      <w:bCs w:val="1"/>
      <w:kern w:val="3"/>
      <w:position w:val="0"/>
      <w:sz w:val="32"/>
      <w:szCs w:val="32"/>
      <w:vertAlign w:val="baseline"/>
      <w:lang w:bidi="ar-SA" w:eastAsia="zh-CN" w:val="ru-RU"/>
    </w:rPr>
  </w:style>
  <w:style w:type="character" w:styleId="22" w:customStyle="1">
    <w:name w:val="Заголовок 2 Знак"/>
    <w:rPr>
      <w:position w:val="0"/>
      <w:sz w:val="28"/>
      <w:vertAlign w:val="baseline"/>
      <w:lang w:bidi="ar-SA" w:eastAsia="zh-CN" w:val="uk-UA"/>
    </w:rPr>
  </w:style>
  <w:style w:type="character" w:styleId="32" w:customStyle="1">
    <w:name w:val="Заголовок 3 Знак"/>
    <w:rPr>
      <w:rFonts w:ascii="Times New Roman" w:cs="Times New Roman" w:eastAsia="Times New Roman" w:hAnsi="Times New Roman"/>
      <w:b w:val="1"/>
      <w:sz w:val="28"/>
      <w:szCs w:val="28"/>
      <w:lang w:eastAsia="en-GB" w:val="ru-RU"/>
    </w:rPr>
  </w:style>
  <w:style w:type="character" w:styleId="40" w:customStyle="1">
    <w:name w:val="Заголовок 4 Знак"/>
    <w:rPr>
      <w:rFonts w:ascii="Times New Roman" w:cs="Times New Roman" w:eastAsia="Times New Roman" w:hAnsi="Times New Roman"/>
      <w:b w:val="1"/>
      <w:sz w:val="24"/>
      <w:szCs w:val="24"/>
      <w:lang w:eastAsia="en-GB" w:val="ru-RU"/>
    </w:rPr>
  </w:style>
  <w:style w:type="character" w:styleId="52" w:customStyle="1">
    <w:name w:val="Заголовок 5 Знак"/>
    <w:rPr>
      <w:rFonts w:ascii="Times New Roman" w:cs="Times New Roman" w:eastAsia="Times New Roman" w:hAnsi="Times New Roman"/>
      <w:b w:val="1"/>
      <w:lang w:eastAsia="en-GB" w:val="ru-RU"/>
    </w:rPr>
  </w:style>
  <w:style w:type="character" w:styleId="60" w:customStyle="1">
    <w:name w:val="Заголовок 6 Знак"/>
    <w:rPr>
      <w:rFonts w:ascii="Calibri" w:cs="Calibri" w:hAnsi="Calibri"/>
      <w:b w:val="1"/>
      <w:bCs w:val="1"/>
      <w:position w:val="0"/>
      <w:sz w:val="22"/>
      <w:szCs w:val="22"/>
      <w:vertAlign w:val="baseline"/>
      <w:lang w:bidi="ar-SA" w:eastAsia="zh-CN" w:val="uk-UA"/>
    </w:rPr>
  </w:style>
  <w:style w:type="paragraph" w:styleId="14" w:customStyle="1">
    <w:name w:val="Назва1"/>
    <w:basedOn w:val="10"/>
    <w:next w:val="10"/>
    <w:pPr>
      <w:keepNext w:val="1"/>
      <w:keepLines w:val="1"/>
      <w:spacing w:after="120" w:before="480" w:line="240" w:lineRule="auto"/>
    </w:pPr>
    <w:rPr>
      <w:rFonts w:ascii="Times New Roman" w:eastAsia="Times New Roman" w:hAnsi="Times New Roman"/>
      <w:b w:val="1"/>
      <w:sz w:val="72"/>
      <w:szCs w:val="72"/>
      <w:lang w:eastAsia="en-GB" w:val="ru-RU"/>
    </w:rPr>
  </w:style>
  <w:style w:type="character" w:styleId="aa" w:customStyle="1">
    <w:name w:val="Назва Знак"/>
    <w:rPr>
      <w:rFonts w:ascii="Times New Roman" w:cs="Times New Roman" w:eastAsia="Times New Roman" w:hAnsi="Times New Roman"/>
      <w:b w:val="1"/>
      <w:sz w:val="72"/>
      <w:szCs w:val="72"/>
      <w:lang w:eastAsia="en-GB" w:val="ru-RU"/>
    </w:rPr>
  </w:style>
  <w:style w:type="paragraph" w:styleId="15" w:customStyle="1">
    <w:name w:val="Звичайний1"/>
    <w:pPr>
      <w:widowControl w:val="0"/>
      <w:suppressAutoHyphens w:val="1"/>
      <w:autoSpaceDE w:val="0"/>
      <w:spacing w:line="1" w:lineRule="atLeast"/>
      <w:ind w:left="-1" w:hanging="1"/>
      <w:textAlignment w:val="top"/>
      <w:outlineLvl w:val="0"/>
    </w:pPr>
    <w:rPr>
      <w:rFonts w:ascii="Times New Roman" w:eastAsia="Times New Roman" w:hAnsi="Times New Roman"/>
      <w:position w:val="-1"/>
      <w:lang w:eastAsia="zh-CN" w:val="ru-RU"/>
    </w:rPr>
  </w:style>
  <w:style w:type="character" w:styleId="16" w:customStyle="1">
    <w:name w:val="Шрифт абзацу за замовчуванням1"/>
    <w:rPr>
      <w:w w:val="100"/>
      <w:position w:val="0"/>
      <w:vertAlign w:val="baseline"/>
      <w:em w:val="none"/>
    </w:rPr>
  </w:style>
  <w:style w:type="character" w:styleId="WW8Num1z0" w:customStyle="1">
    <w:name w:val="WW8Num1z0"/>
    <w:rPr>
      <w:w w:val="100"/>
      <w:position w:val="0"/>
      <w:vertAlign w:val="baseline"/>
      <w:em w:val="none"/>
    </w:rPr>
  </w:style>
  <w:style w:type="character" w:styleId="WW8Num1z1" w:customStyle="1">
    <w:name w:val="WW8Num1z1"/>
    <w:rPr>
      <w:w w:val="100"/>
      <w:position w:val="0"/>
      <w:vertAlign w:val="baseline"/>
      <w:em w:val="none"/>
    </w:rPr>
  </w:style>
  <w:style w:type="character" w:styleId="WW8Num1z2" w:customStyle="1">
    <w:name w:val="WW8Num1z2"/>
    <w:rPr>
      <w:w w:val="100"/>
      <w:position w:val="0"/>
      <w:vertAlign w:val="baseline"/>
      <w:em w:val="none"/>
    </w:rPr>
  </w:style>
  <w:style w:type="character" w:styleId="WW8Num1z3" w:customStyle="1">
    <w:name w:val="WW8Num1z3"/>
    <w:rPr>
      <w:w w:val="100"/>
      <w:position w:val="0"/>
      <w:vertAlign w:val="baseline"/>
      <w:em w:val="none"/>
    </w:rPr>
  </w:style>
  <w:style w:type="character" w:styleId="WW8Num1z4" w:customStyle="1">
    <w:name w:val="WW8Num1z4"/>
    <w:rPr>
      <w:w w:val="100"/>
      <w:position w:val="0"/>
      <w:vertAlign w:val="baseline"/>
      <w:em w:val="none"/>
    </w:rPr>
  </w:style>
  <w:style w:type="character" w:styleId="WW8Num1z5" w:customStyle="1">
    <w:name w:val="WW8Num1z5"/>
    <w:rPr>
      <w:w w:val="100"/>
      <w:position w:val="0"/>
      <w:vertAlign w:val="baseline"/>
      <w:em w:val="none"/>
    </w:rPr>
  </w:style>
  <w:style w:type="character" w:styleId="WW8Num1z6" w:customStyle="1">
    <w:name w:val="WW8Num1z6"/>
    <w:rPr>
      <w:w w:val="100"/>
      <w:position w:val="0"/>
      <w:vertAlign w:val="baseline"/>
      <w:em w:val="none"/>
    </w:rPr>
  </w:style>
  <w:style w:type="character" w:styleId="WW8Num1z7" w:customStyle="1">
    <w:name w:val="WW8Num1z7"/>
    <w:rPr>
      <w:w w:val="100"/>
      <w:position w:val="0"/>
      <w:vertAlign w:val="baseline"/>
      <w:em w:val="none"/>
    </w:rPr>
  </w:style>
  <w:style w:type="character" w:styleId="WW8Num1z8" w:customStyle="1">
    <w:name w:val="WW8Num1z8"/>
    <w:rPr>
      <w:w w:val="100"/>
      <w:position w:val="0"/>
      <w:vertAlign w:val="baseline"/>
      <w:em w:val="none"/>
    </w:rPr>
  </w:style>
  <w:style w:type="character" w:styleId="WW8Num2z0" w:customStyle="1">
    <w:name w:val="WW8Num2z0"/>
    <w:rPr>
      <w:rFonts w:ascii="Times New Roman" w:cs="Times New Roman" w:hAnsi="Times New Roman"/>
      <w:w w:val="100"/>
      <w:position w:val="0"/>
      <w:sz w:val="28"/>
      <w:szCs w:val="28"/>
      <w:vertAlign w:val="baseline"/>
      <w:em w:val="none"/>
    </w:rPr>
  </w:style>
  <w:style w:type="character" w:styleId="WW8Num3z0" w:customStyle="1">
    <w:name w:val="WW8Num3z0"/>
    <w:rPr>
      <w:rFonts w:ascii="Symbol" w:cs="Symbol" w:hAnsi="Symbol"/>
      <w:w w:val="100"/>
      <w:position w:val="0"/>
      <w:sz w:val="28"/>
      <w:szCs w:val="28"/>
      <w:vertAlign w:val="baseline"/>
      <w:em w:val="none"/>
    </w:rPr>
  </w:style>
  <w:style w:type="character" w:styleId="WW8Num4z0" w:customStyle="1">
    <w:name w:val="WW8Num4z0"/>
    <w:rPr>
      <w:w w:val="100"/>
      <w:position w:val="0"/>
      <w:sz w:val="28"/>
      <w:szCs w:val="28"/>
      <w:vertAlign w:val="baseline"/>
      <w:em w:val="none"/>
      <w:lang w:eastAsia="uk-UA" w:val="uk-UA"/>
    </w:rPr>
  </w:style>
  <w:style w:type="character" w:styleId="WW8Num5z0" w:customStyle="1">
    <w:name w:val="WW8Num5z0"/>
    <w:rPr>
      <w:b w:val="1"/>
      <w:bCs w:val="1"/>
      <w:w w:val="100"/>
      <w:position w:val="0"/>
      <w:sz w:val="28"/>
      <w:szCs w:val="28"/>
      <w:vertAlign w:val="baseline"/>
      <w:em w:val="none"/>
    </w:rPr>
  </w:style>
  <w:style w:type="character" w:styleId="WW8Num6z0" w:customStyle="1">
    <w:name w:val="WW8Num6z0"/>
    <w:rPr>
      <w:rFonts w:ascii="Times New Roman" w:cs="Times New Roman" w:hAnsi="Times New Roman"/>
      <w:w w:val="100"/>
      <w:position w:val="0"/>
      <w:sz w:val="28"/>
      <w:szCs w:val="28"/>
      <w:vertAlign w:val="baseline"/>
      <w:em w:val="none"/>
      <w:lang w:val="uk-UA"/>
    </w:rPr>
  </w:style>
  <w:style w:type="character" w:styleId="WW8Num2z1" w:customStyle="1">
    <w:name w:val="WW8Num2z1"/>
    <w:rPr>
      <w:w w:val="100"/>
      <w:position w:val="0"/>
      <w:vertAlign w:val="baseline"/>
      <w:em w:val="none"/>
    </w:rPr>
  </w:style>
  <w:style w:type="character" w:styleId="WW8Num2z2" w:customStyle="1">
    <w:name w:val="WW8Num2z2"/>
    <w:rPr>
      <w:w w:val="100"/>
      <w:position w:val="0"/>
      <w:vertAlign w:val="baseline"/>
      <w:em w:val="none"/>
    </w:rPr>
  </w:style>
  <w:style w:type="character" w:styleId="WW8Num2z3" w:customStyle="1">
    <w:name w:val="WW8Num2z3"/>
    <w:rPr>
      <w:w w:val="100"/>
      <w:position w:val="0"/>
      <w:vertAlign w:val="baseline"/>
      <w:em w:val="none"/>
    </w:rPr>
  </w:style>
  <w:style w:type="character" w:styleId="WW8Num2z4" w:customStyle="1">
    <w:name w:val="WW8Num2z4"/>
    <w:rPr>
      <w:w w:val="100"/>
      <w:position w:val="0"/>
      <w:vertAlign w:val="baseline"/>
      <w:em w:val="none"/>
    </w:rPr>
  </w:style>
  <w:style w:type="character" w:styleId="WW8Num2z5" w:customStyle="1">
    <w:name w:val="WW8Num2z5"/>
    <w:rPr>
      <w:w w:val="100"/>
      <w:position w:val="0"/>
      <w:vertAlign w:val="baseline"/>
      <w:em w:val="none"/>
    </w:rPr>
  </w:style>
  <w:style w:type="character" w:styleId="WW8Num2z6" w:customStyle="1">
    <w:name w:val="WW8Num2z6"/>
    <w:rPr>
      <w:w w:val="100"/>
      <w:position w:val="0"/>
      <w:vertAlign w:val="baseline"/>
      <w:em w:val="none"/>
    </w:rPr>
  </w:style>
  <w:style w:type="character" w:styleId="WW8Num2z7" w:customStyle="1">
    <w:name w:val="WW8Num2z7"/>
    <w:rPr>
      <w:w w:val="100"/>
      <w:position w:val="0"/>
      <w:vertAlign w:val="baseline"/>
      <w:em w:val="none"/>
    </w:rPr>
  </w:style>
  <w:style w:type="character" w:styleId="WW8Num2z8" w:customStyle="1">
    <w:name w:val="WW8Num2z8"/>
    <w:rPr>
      <w:w w:val="100"/>
      <w:position w:val="0"/>
      <w:vertAlign w:val="baseline"/>
      <w:em w:val="none"/>
    </w:rPr>
  </w:style>
  <w:style w:type="character" w:styleId="WW8Num3z3" w:customStyle="1">
    <w:name w:val="WW8Num3z3"/>
    <w:rPr>
      <w:rFonts w:ascii="Times New Roman" w:cs="Times New Roman" w:hAnsi="Times New Roman"/>
      <w:b w:val="0"/>
      <w:bCs w:val="1"/>
      <w:i w:val="0"/>
      <w:iCs w:val="0"/>
      <w:caps w:val="0"/>
      <w:smallCaps w:val="0"/>
      <w:strike w:val="0"/>
      <w:dstrike w:val="0"/>
      <w:color w:val="000000"/>
      <w:spacing w:val="0"/>
      <w:w w:val="100"/>
      <w:position w:val="0"/>
      <w:sz w:val="28"/>
      <w:szCs w:val="28"/>
      <w:u w:val="none"/>
      <w:vertAlign w:val="baseline"/>
      <w:em w:val="none"/>
    </w:rPr>
  </w:style>
  <w:style w:type="character" w:styleId="WW8Num3z4" w:customStyle="1">
    <w:name w:val="WW8Num3z4"/>
    <w:rPr>
      <w:rFonts w:ascii="Arial" w:cs="Arial" w:hAnsi="Arial"/>
      <w:b w:val="1"/>
      <w:bCs w:val="1"/>
      <w:i w:val="0"/>
      <w:iCs w:val="0"/>
      <w:caps w:val="0"/>
      <w:smallCaps w:val="0"/>
      <w:strike w:val="0"/>
      <w:dstrike w:val="0"/>
      <w:color w:val="000000"/>
      <w:spacing w:val="0"/>
      <w:w w:val="100"/>
      <w:position w:val="0"/>
      <w:sz w:val="22"/>
      <w:szCs w:val="22"/>
      <w:u w:val="none"/>
      <w:vertAlign w:val="baseline"/>
      <w:em w:val="none"/>
    </w:rPr>
  </w:style>
  <w:style w:type="character" w:styleId="WW8Num4z1" w:customStyle="1">
    <w:name w:val="WW8Num4z1"/>
    <w:rPr>
      <w:w w:val="100"/>
      <w:position w:val="0"/>
      <w:vertAlign w:val="baseline"/>
      <w:em w:val="none"/>
    </w:rPr>
  </w:style>
  <w:style w:type="character" w:styleId="WW8Num4z2" w:customStyle="1">
    <w:name w:val="WW8Num4z2"/>
    <w:rPr>
      <w:w w:val="100"/>
      <w:position w:val="0"/>
      <w:vertAlign w:val="baseline"/>
      <w:em w:val="none"/>
    </w:rPr>
  </w:style>
  <w:style w:type="character" w:styleId="WW8Num4z3" w:customStyle="1">
    <w:name w:val="WW8Num4z3"/>
    <w:rPr>
      <w:w w:val="100"/>
      <w:position w:val="0"/>
      <w:vertAlign w:val="baseline"/>
      <w:em w:val="none"/>
    </w:rPr>
  </w:style>
  <w:style w:type="character" w:styleId="WW8Num4z4" w:customStyle="1">
    <w:name w:val="WW8Num4z4"/>
    <w:rPr>
      <w:w w:val="100"/>
      <w:position w:val="0"/>
      <w:vertAlign w:val="baseline"/>
      <w:em w:val="none"/>
    </w:rPr>
  </w:style>
  <w:style w:type="character" w:styleId="WW8Num4z5" w:customStyle="1">
    <w:name w:val="WW8Num4z5"/>
    <w:rPr>
      <w:w w:val="100"/>
      <w:position w:val="0"/>
      <w:vertAlign w:val="baseline"/>
      <w:em w:val="none"/>
    </w:rPr>
  </w:style>
  <w:style w:type="character" w:styleId="WW8Num4z6" w:customStyle="1">
    <w:name w:val="WW8Num4z6"/>
    <w:rPr>
      <w:w w:val="100"/>
      <w:position w:val="0"/>
      <w:vertAlign w:val="baseline"/>
      <w:em w:val="none"/>
    </w:rPr>
  </w:style>
  <w:style w:type="character" w:styleId="WW8Num4z7" w:customStyle="1">
    <w:name w:val="WW8Num4z7"/>
    <w:rPr>
      <w:w w:val="100"/>
      <w:position w:val="0"/>
      <w:vertAlign w:val="baseline"/>
      <w:em w:val="none"/>
    </w:rPr>
  </w:style>
  <w:style w:type="character" w:styleId="WW8Num4z8" w:customStyle="1">
    <w:name w:val="WW8Num4z8"/>
    <w:rPr>
      <w:w w:val="100"/>
      <w:position w:val="0"/>
      <w:vertAlign w:val="baseline"/>
      <w:em w:val="none"/>
    </w:rPr>
  </w:style>
  <w:style w:type="character" w:styleId="WW8Num5z1" w:customStyle="1">
    <w:name w:val="WW8Num5z1"/>
    <w:rPr>
      <w:rFonts w:ascii="Courier New" w:cs="Courier New" w:hAnsi="Courier New"/>
      <w:w w:val="100"/>
      <w:position w:val="0"/>
      <w:sz w:val="20"/>
      <w:vertAlign w:val="baseline"/>
      <w:em w:val="none"/>
    </w:rPr>
  </w:style>
  <w:style w:type="character" w:styleId="WW8Num5z2" w:customStyle="1">
    <w:name w:val="WW8Num5z2"/>
    <w:rPr>
      <w:rFonts w:ascii="Wingdings" w:cs="Wingdings" w:hAnsi="Wingdings"/>
      <w:w w:val="100"/>
      <w:position w:val="0"/>
      <w:sz w:val="20"/>
      <w:vertAlign w:val="baseline"/>
      <w:em w:val="none"/>
    </w:rPr>
  </w:style>
  <w:style w:type="character" w:styleId="WW8Num6z1" w:customStyle="1">
    <w:name w:val="WW8Num6z1"/>
    <w:rPr>
      <w:w w:val="100"/>
      <w:position w:val="0"/>
      <w:vertAlign w:val="baseline"/>
      <w:em w:val="none"/>
    </w:rPr>
  </w:style>
  <w:style w:type="character" w:styleId="WW8Num6z2" w:customStyle="1">
    <w:name w:val="WW8Num6z2"/>
    <w:rPr>
      <w:w w:val="100"/>
      <w:position w:val="0"/>
      <w:vertAlign w:val="baseline"/>
      <w:em w:val="none"/>
    </w:rPr>
  </w:style>
  <w:style w:type="character" w:styleId="WW8Num6z3" w:customStyle="1">
    <w:name w:val="WW8Num6z3"/>
    <w:rPr>
      <w:w w:val="100"/>
      <w:position w:val="0"/>
      <w:vertAlign w:val="baseline"/>
      <w:em w:val="none"/>
    </w:rPr>
  </w:style>
  <w:style w:type="character" w:styleId="WW8Num6z4" w:customStyle="1">
    <w:name w:val="WW8Num6z4"/>
    <w:rPr>
      <w:w w:val="100"/>
      <w:position w:val="0"/>
      <w:vertAlign w:val="baseline"/>
      <w:em w:val="none"/>
    </w:rPr>
  </w:style>
  <w:style w:type="character" w:styleId="WW8Num6z5" w:customStyle="1">
    <w:name w:val="WW8Num6z5"/>
    <w:rPr>
      <w:w w:val="100"/>
      <w:position w:val="0"/>
      <w:vertAlign w:val="baseline"/>
      <w:em w:val="none"/>
    </w:rPr>
  </w:style>
  <w:style w:type="character" w:styleId="WW8Num6z6" w:customStyle="1">
    <w:name w:val="WW8Num6z6"/>
    <w:rPr>
      <w:w w:val="100"/>
      <w:position w:val="0"/>
      <w:vertAlign w:val="baseline"/>
      <w:em w:val="none"/>
    </w:rPr>
  </w:style>
  <w:style w:type="character" w:styleId="WW8Num6z7" w:customStyle="1">
    <w:name w:val="WW8Num6z7"/>
    <w:rPr>
      <w:w w:val="100"/>
      <w:position w:val="0"/>
      <w:vertAlign w:val="baseline"/>
      <w:em w:val="none"/>
    </w:rPr>
  </w:style>
  <w:style w:type="character" w:styleId="WW8Num6z8" w:customStyle="1">
    <w:name w:val="WW8Num6z8"/>
    <w:rPr>
      <w:w w:val="100"/>
      <w:position w:val="0"/>
      <w:vertAlign w:val="baseline"/>
      <w:em w:val="none"/>
    </w:rPr>
  </w:style>
  <w:style w:type="character" w:styleId="WW8Num7z0" w:customStyle="1">
    <w:name w:val="WW8Num7z0"/>
    <w:rPr>
      <w:w w:val="100"/>
      <w:position w:val="0"/>
      <w:sz w:val="28"/>
      <w:szCs w:val="28"/>
      <w:vertAlign w:val="baseline"/>
      <w:em w:val="none"/>
      <w:lang w:val="uk-UA"/>
    </w:rPr>
  </w:style>
  <w:style w:type="character" w:styleId="WW8Num7z1" w:customStyle="1">
    <w:name w:val="WW8Num7z1"/>
    <w:rPr>
      <w:w w:val="100"/>
      <w:position w:val="0"/>
      <w:vertAlign w:val="baseline"/>
      <w:em w:val="none"/>
    </w:rPr>
  </w:style>
  <w:style w:type="character" w:styleId="WW8Num7z2" w:customStyle="1">
    <w:name w:val="WW8Num7z2"/>
    <w:rPr>
      <w:w w:val="100"/>
      <w:position w:val="0"/>
      <w:vertAlign w:val="baseline"/>
      <w:em w:val="none"/>
    </w:rPr>
  </w:style>
  <w:style w:type="character" w:styleId="WW8Num7z3" w:customStyle="1">
    <w:name w:val="WW8Num7z3"/>
    <w:rPr>
      <w:w w:val="100"/>
      <w:position w:val="0"/>
      <w:vertAlign w:val="baseline"/>
      <w:em w:val="none"/>
    </w:rPr>
  </w:style>
  <w:style w:type="character" w:styleId="WW8Num7z4" w:customStyle="1">
    <w:name w:val="WW8Num7z4"/>
    <w:rPr>
      <w:w w:val="100"/>
      <w:position w:val="0"/>
      <w:vertAlign w:val="baseline"/>
      <w:em w:val="none"/>
    </w:rPr>
  </w:style>
  <w:style w:type="character" w:styleId="WW8Num7z5" w:customStyle="1">
    <w:name w:val="WW8Num7z5"/>
    <w:rPr>
      <w:w w:val="100"/>
      <w:position w:val="0"/>
      <w:vertAlign w:val="baseline"/>
      <w:em w:val="none"/>
    </w:rPr>
  </w:style>
  <w:style w:type="character" w:styleId="WW8Num7z6" w:customStyle="1">
    <w:name w:val="WW8Num7z6"/>
    <w:rPr>
      <w:w w:val="100"/>
      <w:position w:val="0"/>
      <w:vertAlign w:val="baseline"/>
      <w:em w:val="none"/>
    </w:rPr>
  </w:style>
  <w:style w:type="character" w:styleId="WW8Num7z7" w:customStyle="1">
    <w:name w:val="WW8Num7z7"/>
    <w:rPr>
      <w:w w:val="100"/>
      <w:position w:val="0"/>
      <w:vertAlign w:val="baseline"/>
      <w:em w:val="none"/>
    </w:rPr>
  </w:style>
  <w:style w:type="character" w:styleId="WW8Num7z8" w:customStyle="1">
    <w:name w:val="WW8Num7z8"/>
    <w:rPr>
      <w:w w:val="100"/>
      <w:position w:val="0"/>
      <w:vertAlign w:val="baseline"/>
      <w:em w:val="none"/>
    </w:rPr>
  </w:style>
  <w:style w:type="character" w:styleId="WW8Num8z0" w:customStyle="1">
    <w:name w:val="WW8Num8z0"/>
    <w:rPr>
      <w:rFonts w:ascii="Symbol" w:cs="Symbol" w:hAnsi="Symbol"/>
      <w:w w:val="100"/>
      <w:position w:val="0"/>
      <w:vertAlign w:val="baseline"/>
      <w:em w:val="none"/>
    </w:rPr>
  </w:style>
  <w:style w:type="character" w:styleId="WW8Num8z1" w:customStyle="1">
    <w:name w:val="WW8Num8z1"/>
    <w:rPr>
      <w:rFonts w:ascii="Courier New" w:cs="Courier New" w:hAnsi="Courier New"/>
      <w:w w:val="100"/>
      <w:position w:val="0"/>
      <w:vertAlign w:val="baseline"/>
      <w:em w:val="none"/>
    </w:rPr>
  </w:style>
  <w:style w:type="character" w:styleId="WW8Num8z2" w:customStyle="1">
    <w:name w:val="WW8Num8z2"/>
    <w:rPr>
      <w:rFonts w:ascii="Wingdings" w:cs="Wingdings" w:hAnsi="Wingdings"/>
      <w:w w:val="100"/>
      <w:position w:val="0"/>
      <w:vertAlign w:val="baseline"/>
      <w:em w:val="none"/>
    </w:rPr>
  </w:style>
  <w:style w:type="character" w:styleId="WW8Num9z0" w:customStyle="1">
    <w:name w:val="WW8Num9z0"/>
    <w:rPr>
      <w:b w:val="1"/>
      <w:bCs w:val="1"/>
      <w:w w:val="100"/>
      <w:position w:val="0"/>
      <w:sz w:val="28"/>
      <w:szCs w:val="28"/>
      <w:vertAlign w:val="baseline"/>
      <w:em w:val="none"/>
    </w:rPr>
  </w:style>
  <w:style w:type="character" w:styleId="WW8Num9z1" w:customStyle="1">
    <w:name w:val="WW8Num9z1"/>
    <w:rPr>
      <w:w w:val="100"/>
      <w:position w:val="0"/>
      <w:vertAlign w:val="baseline"/>
      <w:em w:val="none"/>
    </w:rPr>
  </w:style>
  <w:style w:type="character" w:styleId="WW8Num9z2" w:customStyle="1">
    <w:name w:val="WW8Num9z2"/>
    <w:rPr>
      <w:w w:val="100"/>
      <w:position w:val="0"/>
      <w:vertAlign w:val="baseline"/>
      <w:em w:val="none"/>
    </w:rPr>
  </w:style>
  <w:style w:type="character" w:styleId="WW8Num9z3" w:customStyle="1">
    <w:name w:val="WW8Num9z3"/>
    <w:rPr>
      <w:w w:val="100"/>
      <w:position w:val="0"/>
      <w:vertAlign w:val="baseline"/>
      <w:em w:val="none"/>
    </w:rPr>
  </w:style>
  <w:style w:type="character" w:styleId="WW8Num9z4" w:customStyle="1">
    <w:name w:val="WW8Num9z4"/>
    <w:rPr>
      <w:w w:val="100"/>
      <w:position w:val="0"/>
      <w:vertAlign w:val="baseline"/>
      <w:em w:val="none"/>
    </w:rPr>
  </w:style>
  <w:style w:type="character" w:styleId="WW8Num9z5" w:customStyle="1">
    <w:name w:val="WW8Num9z5"/>
    <w:rPr>
      <w:w w:val="100"/>
      <w:position w:val="0"/>
      <w:vertAlign w:val="baseline"/>
      <w:em w:val="none"/>
    </w:rPr>
  </w:style>
  <w:style w:type="character" w:styleId="WW8Num9z6" w:customStyle="1">
    <w:name w:val="WW8Num9z6"/>
    <w:rPr>
      <w:w w:val="100"/>
      <w:position w:val="0"/>
      <w:vertAlign w:val="baseline"/>
      <w:em w:val="none"/>
    </w:rPr>
  </w:style>
  <w:style w:type="character" w:styleId="WW8Num9z7" w:customStyle="1">
    <w:name w:val="WW8Num9z7"/>
    <w:rPr>
      <w:w w:val="100"/>
      <w:position w:val="0"/>
      <w:vertAlign w:val="baseline"/>
      <w:em w:val="none"/>
    </w:rPr>
  </w:style>
  <w:style w:type="character" w:styleId="WW8Num9z8" w:customStyle="1">
    <w:name w:val="WW8Num9z8"/>
    <w:rPr>
      <w:w w:val="100"/>
      <w:position w:val="0"/>
      <w:vertAlign w:val="baseline"/>
      <w:em w:val="none"/>
    </w:rPr>
  </w:style>
  <w:style w:type="character" w:styleId="WW8Num10z0" w:customStyle="1">
    <w:name w:val="WW8Num10z0"/>
    <w:rPr>
      <w:w w:val="100"/>
      <w:position w:val="0"/>
      <w:vertAlign w:val="baseline"/>
      <w:em w:val="none"/>
    </w:rPr>
  </w:style>
  <w:style w:type="character" w:styleId="WW8Num10z1" w:customStyle="1">
    <w:name w:val="WW8Num10z1"/>
    <w:rPr>
      <w:w w:val="100"/>
      <w:position w:val="0"/>
      <w:vertAlign w:val="baseline"/>
      <w:em w:val="none"/>
    </w:rPr>
  </w:style>
  <w:style w:type="character" w:styleId="WW8Num10z2" w:customStyle="1">
    <w:name w:val="WW8Num10z2"/>
    <w:rPr>
      <w:w w:val="100"/>
      <w:position w:val="0"/>
      <w:vertAlign w:val="baseline"/>
      <w:em w:val="none"/>
    </w:rPr>
  </w:style>
  <w:style w:type="character" w:styleId="WW8Num10z3" w:customStyle="1">
    <w:name w:val="WW8Num10z3"/>
    <w:rPr>
      <w:w w:val="100"/>
      <w:position w:val="0"/>
      <w:vertAlign w:val="baseline"/>
      <w:em w:val="none"/>
    </w:rPr>
  </w:style>
  <w:style w:type="character" w:styleId="WW8Num10z4" w:customStyle="1">
    <w:name w:val="WW8Num10z4"/>
    <w:rPr>
      <w:w w:val="100"/>
      <w:position w:val="0"/>
      <w:vertAlign w:val="baseline"/>
      <w:em w:val="none"/>
    </w:rPr>
  </w:style>
  <w:style w:type="character" w:styleId="WW8Num10z5" w:customStyle="1">
    <w:name w:val="WW8Num10z5"/>
    <w:rPr>
      <w:w w:val="100"/>
      <w:position w:val="0"/>
      <w:vertAlign w:val="baseline"/>
      <w:em w:val="none"/>
    </w:rPr>
  </w:style>
  <w:style w:type="character" w:styleId="WW8Num10z6" w:customStyle="1">
    <w:name w:val="WW8Num10z6"/>
    <w:rPr>
      <w:w w:val="100"/>
      <w:position w:val="0"/>
      <w:vertAlign w:val="baseline"/>
      <w:em w:val="none"/>
    </w:rPr>
  </w:style>
  <w:style w:type="character" w:styleId="WW8Num10z7" w:customStyle="1">
    <w:name w:val="WW8Num10z7"/>
    <w:rPr>
      <w:w w:val="100"/>
      <w:position w:val="0"/>
      <w:vertAlign w:val="baseline"/>
      <w:em w:val="none"/>
    </w:rPr>
  </w:style>
  <w:style w:type="character" w:styleId="WW8Num10z8" w:customStyle="1">
    <w:name w:val="WW8Num10z8"/>
    <w:rPr>
      <w:w w:val="100"/>
      <w:position w:val="0"/>
      <w:vertAlign w:val="baseline"/>
      <w:em w:val="none"/>
    </w:rPr>
  </w:style>
  <w:style w:type="character" w:styleId="WW8Num11z0" w:customStyle="1">
    <w:name w:val="WW8Num11z0"/>
    <w:rPr>
      <w:w w:val="100"/>
      <w:position w:val="0"/>
      <w:sz w:val="28"/>
      <w:vertAlign w:val="baseline"/>
      <w:em w:val="none"/>
    </w:rPr>
  </w:style>
  <w:style w:type="character" w:styleId="WW8Num11z1" w:customStyle="1">
    <w:name w:val="WW8Num11z1"/>
    <w:rPr>
      <w:w w:val="100"/>
      <w:position w:val="0"/>
      <w:vertAlign w:val="baseline"/>
      <w:em w:val="none"/>
    </w:rPr>
  </w:style>
  <w:style w:type="character" w:styleId="WW8Num11z2" w:customStyle="1">
    <w:name w:val="WW8Num11z2"/>
    <w:rPr>
      <w:w w:val="100"/>
      <w:position w:val="0"/>
      <w:vertAlign w:val="baseline"/>
      <w:em w:val="none"/>
    </w:rPr>
  </w:style>
  <w:style w:type="character" w:styleId="WW8Num11z3" w:customStyle="1">
    <w:name w:val="WW8Num11z3"/>
    <w:rPr>
      <w:w w:val="100"/>
      <w:position w:val="0"/>
      <w:vertAlign w:val="baseline"/>
      <w:em w:val="none"/>
    </w:rPr>
  </w:style>
  <w:style w:type="character" w:styleId="WW8Num11z4" w:customStyle="1">
    <w:name w:val="WW8Num11z4"/>
    <w:rPr>
      <w:w w:val="100"/>
      <w:position w:val="0"/>
      <w:vertAlign w:val="baseline"/>
      <w:em w:val="none"/>
    </w:rPr>
  </w:style>
  <w:style w:type="character" w:styleId="WW8Num11z5" w:customStyle="1">
    <w:name w:val="WW8Num11z5"/>
    <w:rPr>
      <w:w w:val="100"/>
      <w:position w:val="0"/>
      <w:vertAlign w:val="baseline"/>
      <w:em w:val="none"/>
    </w:rPr>
  </w:style>
  <w:style w:type="character" w:styleId="WW8Num11z6" w:customStyle="1">
    <w:name w:val="WW8Num11z6"/>
    <w:rPr>
      <w:w w:val="100"/>
      <w:position w:val="0"/>
      <w:vertAlign w:val="baseline"/>
      <w:em w:val="none"/>
    </w:rPr>
  </w:style>
  <w:style w:type="character" w:styleId="WW8Num11z7" w:customStyle="1">
    <w:name w:val="WW8Num11z7"/>
    <w:rPr>
      <w:w w:val="100"/>
      <w:position w:val="0"/>
      <w:vertAlign w:val="baseline"/>
      <w:em w:val="none"/>
    </w:rPr>
  </w:style>
  <w:style w:type="character" w:styleId="WW8Num11z8" w:customStyle="1">
    <w:name w:val="WW8Num11z8"/>
    <w:rPr>
      <w:w w:val="100"/>
      <w:position w:val="0"/>
      <w:vertAlign w:val="baseline"/>
      <w:em w:val="none"/>
    </w:rPr>
  </w:style>
  <w:style w:type="character" w:styleId="cntsl" w:customStyle="1">
    <w:name w:val="cnt_sl"/>
    <w:rPr>
      <w:w w:val="100"/>
      <w:position w:val="0"/>
      <w:vertAlign w:val="baseline"/>
      <w:em w:val="none"/>
    </w:rPr>
  </w:style>
  <w:style w:type="character" w:styleId="hps" w:customStyle="1">
    <w:name w:val="hps"/>
    <w:rPr>
      <w:w w:val="100"/>
      <w:position w:val="0"/>
      <w:vertAlign w:val="baseline"/>
      <w:em w:val="none"/>
    </w:rPr>
  </w:style>
  <w:style w:type="character" w:styleId="ab" w:customStyle="1">
    <w:name w:val="Верхний колонтитул Знак"/>
    <w:rPr>
      <w:w w:val="100"/>
      <w:position w:val="0"/>
      <w:vertAlign w:val="baseline"/>
      <w:em w:val="none"/>
    </w:rPr>
  </w:style>
  <w:style w:type="character" w:styleId="23" w:customStyle="1">
    <w:name w:val="Основной текст 2 Знак"/>
    <w:rPr>
      <w:w w:val="100"/>
      <w:position w:val="0"/>
      <w:sz w:val="28"/>
      <w:szCs w:val="28"/>
      <w:shd w:color="auto" w:fill="ffffff" w:val="clear"/>
      <w:vertAlign w:val="baseline"/>
      <w:em w:val="none"/>
      <w:lang w:val="uk-UA"/>
    </w:rPr>
  </w:style>
  <w:style w:type="character" w:styleId="FontStyle41" w:customStyle="1">
    <w:name w:val="Font Style41"/>
    <w:rPr>
      <w:rFonts w:ascii="Times New Roman" w:cs="Times New Roman" w:hAnsi="Times New Roman"/>
      <w:b w:val="1"/>
      <w:bCs w:val="1"/>
      <w:w w:val="100"/>
      <w:position w:val="0"/>
      <w:sz w:val="26"/>
      <w:szCs w:val="26"/>
      <w:vertAlign w:val="baseline"/>
      <w:em w:val="none"/>
    </w:rPr>
  </w:style>
  <w:style w:type="character" w:styleId="FontStyle47" w:customStyle="1">
    <w:name w:val="Font Style47"/>
    <w:rPr>
      <w:rFonts w:ascii="Times New Roman" w:cs="Times New Roman" w:hAnsi="Times New Roman"/>
      <w:w w:val="100"/>
      <w:position w:val="0"/>
      <w:sz w:val="26"/>
      <w:szCs w:val="26"/>
      <w:vertAlign w:val="baseline"/>
      <w:em w:val="none"/>
    </w:rPr>
  </w:style>
  <w:style w:type="character" w:styleId="140" w:customStyle="1">
    <w:name w:val="Выделить 14"/>
    <w:rPr>
      <w:rFonts w:ascii="Times New Roman" w:cs="Times New Roman" w:hAnsi="Times New Roman"/>
      <w:b w:val="1"/>
      <w:w w:val="100"/>
      <w:position w:val="0"/>
      <w:sz w:val="28"/>
      <w:vertAlign w:val="baseline"/>
      <w:em w:val="none"/>
    </w:rPr>
  </w:style>
  <w:style w:type="character" w:styleId="17" w:customStyle="1">
    <w:name w:val="Гіперпосилання1"/>
    <w:rPr>
      <w:color w:val="0000ff"/>
      <w:w w:val="100"/>
      <w:position w:val="0"/>
      <w:u w:val="single"/>
      <w:vertAlign w:val="baseline"/>
      <w:em w:val="none"/>
    </w:rPr>
  </w:style>
  <w:style w:type="character" w:styleId="longtext" w:customStyle="1">
    <w:name w:val="long_text"/>
    <w:rPr>
      <w:w w:val="100"/>
      <w:position w:val="0"/>
      <w:vertAlign w:val="baseline"/>
      <w:em w:val="none"/>
    </w:rPr>
  </w:style>
  <w:style w:type="character" w:styleId="ac" w:customStyle="1">
    <w:name w:val="Основной текст Знак"/>
    <w:rPr>
      <w:w w:val="100"/>
      <w:position w:val="0"/>
      <w:vertAlign w:val="baseline"/>
      <w:em w:val="none"/>
    </w:rPr>
  </w:style>
  <w:style w:type="character" w:styleId="tocnumber" w:customStyle="1">
    <w:name w:val="tocnumber"/>
    <w:rPr>
      <w:w w:val="100"/>
      <w:position w:val="0"/>
      <w:vertAlign w:val="baseline"/>
      <w:em w:val="none"/>
    </w:rPr>
  </w:style>
  <w:style w:type="character" w:styleId="toctext" w:customStyle="1">
    <w:name w:val="toctext"/>
    <w:rPr>
      <w:w w:val="100"/>
      <w:position w:val="0"/>
      <w:vertAlign w:val="baseline"/>
      <w:em w:val="none"/>
    </w:rPr>
  </w:style>
  <w:style w:type="character" w:styleId="ad">
    <w:name w:val="Strong"/>
    <w:rPr>
      <w:b w:val="1"/>
      <w:bCs w:val="1"/>
      <w:w w:val="100"/>
      <w:position w:val="0"/>
      <w:vertAlign w:val="baseline"/>
      <w:em w:val="none"/>
    </w:rPr>
  </w:style>
  <w:style w:type="character" w:styleId="ae" w:customStyle="1">
    <w:name w:val="Текст выноски Знак"/>
    <w:rPr>
      <w:rFonts w:ascii="Tahoma" w:cs="Tahoma" w:hAnsi="Tahoma"/>
      <w:w w:val="100"/>
      <w:position w:val="0"/>
      <w:sz w:val="16"/>
      <w:szCs w:val="16"/>
      <w:vertAlign w:val="baseline"/>
      <w:em w:val="none"/>
    </w:rPr>
  </w:style>
  <w:style w:type="character" w:styleId="atn" w:customStyle="1">
    <w:name w:val="atn"/>
    <w:rPr>
      <w:w w:val="100"/>
      <w:position w:val="0"/>
      <w:vertAlign w:val="baseline"/>
      <w:em w:val="none"/>
    </w:rPr>
  </w:style>
  <w:style w:type="character" w:styleId="af" w:customStyle="1">
    <w:name w:val="Нижний колонтитул Знак"/>
    <w:rPr>
      <w:w w:val="100"/>
      <w:position w:val="0"/>
      <w:vertAlign w:val="baseline"/>
      <w:em w:val="none"/>
    </w:rPr>
  </w:style>
  <w:style w:type="character" w:styleId="HTML" w:customStyle="1">
    <w:name w:val="Стандартный HTML Знак"/>
    <w:rPr>
      <w:rFonts w:ascii="Courier New" w:cs="Courier New" w:hAnsi="Courier New"/>
      <w:w w:val="100"/>
      <w:position w:val="0"/>
      <w:vertAlign w:val="baseline"/>
      <w:em w:val="none"/>
    </w:rPr>
  </w:style>
  <w:style w:type="character" w:styleId="af0" w:customStyle="1">
    <w:name w:val="Текст Знак"/>
    <w:rPr>
      <w:rFonts w:ascii="Courier New" w:cs="Courier New" w:hAnsi="Courier New"/>
      <w:w w:val="100"/>
      <w:position w:val="0"/>
      <w:vertAlign w:val="baseline"/>
      <w:em w:val="none"/>
    </w:rPr>
  </w:style>
  <w:style w:type="character" w:styleId="18" w:customStyle="1">
    <w:name w:val="Номер сторінки1"/>
    <w:rPr>
      <w:w w:val="100"/>
      <w:position w:val="0"/>
      <w:vertAlign w:val="baseline"/>
      <w:em w:val="none"/>
    </w:rPr>
  </w:style>
  <w:style w:type="character" w:styleId="st" w:customStyle="1">
    <w:name w:val="st"/>
    <w:rPr>
      <w:w w:val="100"/>
      <w:position w:val="0"/>
      <w:vertAlign w:val="baseline"/>
      <w:em w:val="none"/>
    </w:rPr>
  </w:style>
  <w:style w:type="character" w:styleId="spelle" w:customStyle="1">
    <w:name w:val="spelle"/>
    <w:rPr>
      <w:w w:val="100"/>
      <w:position w:val="0"/>
      <w:vertAlign w:val="baseline"/>
      <w:em w:val="none"/>
    </w:rPr>
  </w:style>
  <w:style w:type="character" w:styleId="19" w:customStyle="1">
    <w:name w:val="Виділення1"/>
    <w:rPr>
      <w:i w:val="1"/>
      <w:iCs w:val="1"/>
      <w:w w:val="100"/>
      <w:position w:val="0"/>
      <w:vertAlign w:val="baseline"/>
      <w:em w:val="none"/>
    </w:rPr>
  </w:style>
  <w:style w:type="character" w:styleId="33" w:customStyle="1">
    <w:name w:val="Заголовок №3_"/>
    <w:rPr>
      <w:rFonts w:ascii="Arial" w:cs="Arial" w:hAnsi="Arial"/>
      <w:b w:val="1"/>
      <w:bCs w:val="1"/>
      <w:w w:val="100"/>
      <w:position w:val="0"/>
      <w:sz w:val="27"/>
      <w:szCs w:val="27"/>
      <w:shd w:color="auto" w:fill="ffffff" w:val="clear"/>
      <w:vertAlign w:val="baseline"/>
      <w:em w:val="none"/>
      <w:lang w:bidi="ar-SA"/>
    </w:rPr>
  </w:style>
  <w:style w:type="character" w:styleId="1a" w:customStyle="1">
    <w:name w:val="Знак Знак1"/>
    <w:rPr>
      <w:w w:val="100"/>
      <w:position w:val="0"/>
      <w:vertAlign w:val="baseline"/>
      <w:em w:val="none"/>
      <w:lang w:bidi="ar-SA" w:val="ru-RU"/>
    </w:rPr>
  </w:style>
  <w:style w:type="character" w:styleId="7" w:customStyle="1">
    <w:name w:val="Основной текст (7)_"/>
    <w:rPr>
      <w:rFonts w:ascii="Arial" w:cs="Arial" w:hAnsi="Arial"/>
      <w:b w:val="1"/>
      <w:bCs w:val="1"/>
      <w:i w:val="1"/>
      <w:iCs w:val="1"/>
      <w:w w:val="100"/>
      <w:position w:val="0"/>
      <w:shd w:color="auto" w:fill="ffffff" w:val="clear"/>
      <w:vertAlign w:val="baseline"/>
      <w:em w:val="none"/>
      <w:lang w:bidi="ar-SA"/>
    </w:rPr>
  </w:style>
  <w:style w:type="character" w:styleId="70" w:customStyle="1">
    <w:name w:val="Основной текст (7) + Не полужирный"/>
    <w:rPr>
      <w:rFonts w:ascii="Arial" w:cs="Arial" w:hAnsi="Arial"/>
      <w:b w:val="0"/>
      <w:bCs w:val="0"/>
      <w:i w:val="0"/>
      <w:iCs w:val="0"/>
      <w:w w:val="100"/>
      <w:position w:val="0"/>
      <w:shd w:color="auto" w:fill="ffffff" w:val="clear"/>
      <w:vertAlign w:val="baseline"/>
      <w:em w:val="none"/>
    </w:rPr>
  </w:style>
  <w:style w:type="character" w:styleId="af1" w:customStyle="1">
    <w:name w:val="Основной текст + Полужирный"/>
    <w:rPr>
      <w:rFonts w:ascii="Arial" w:cs="Arial" w:hAnsi="Arial"/>
      <w:b w:val="1"/>
      <w:bCs w:val="1"/>
      <w:i w:val="1"/>
      <w:iCs w:val="1"/>
      <w:w w:val="100"/>
      <w:position w:val="0"/>
      <w:shd w:color="auto" w:fill="ffffff" w:val="clear"/>
      <w:vertAlign w:val="baseline"/>
      <w:em w:val="none"/>
    </w:rPr>
  </w:style>
  <w:style w:type="character" w:styleId="41" w:customStyle="1">
    <w:name w:val="Заголовок №4_"/>
    <w:rPr>
      <w:rFonts w:ascii="Arial" w:cs="Arial" w:hAnsi="Arial"/>
      <w:b w:val="1"/>
      <w:bCs w:val="1"/>
      <w:w w:val="100"/>
      <w:position w:val="0"/>
      <w:shd w:color="auto" w:fill="ffffff" w:val="clear"/>
      <w:vertAlign w:val="baseline"/>
      <w:em w:val="none"/>
      <w:lang w:bidi="ar-SA"/>
    </w:rPr>
  </w:style>
  <w:style w:type="character" w:styleId="8" w:customStyle="1">
    <w:name w:val="Основной текст (8)_"/>
    <w:rPr>
      <w:rFonts w:ascii="Arial" w:cs="Arial" w:hAnsi="Arial"/>
      <w:w w:val="100"/>
      <w:position w:val="0"/>
      <w:sz w:val="19"/>
      <w:szCs w:val="19"/>
      <w:shd w:color="auto" w:fill="ffffff" w:val="clear"/>
      <w:vertAlign w:val="baseline"/>
      <w:em w:val="none"/>
      <w:lang w:bidi="ar-SA"/>
    </w:rPr>
  </w:style>
  <w:style w:type="character" w:styleId="80" w:customStyle="1">
    <w:name w:val="Основной текст (8) + Курсив"/>
    <w:rPr>
      <w:rFonts w:ascii="Arial" w:cs="Arial" w:hAnsi="Arial"/>
      <w:i w:val="1"/>
      <w:iCs w:val="1"/>
      <w:w w:val="100"/>
      <w:position w:val="0"/>
      <w:sz w:val="19"/>
      <w:szCs w:val="19"/>
      <w:shd w:color="auto" w:fill="ffffff" w:val="clear"/>
      <w:vertAlign w:val="baseline"/>
      <w:em w:val="none"/>
    </w:rPr>
  </w:style>
  <w:style w:type="character" w:styleId="82" w:customStyle="1">
    <w:name w:val="Основной текст (8) + Курсив2"/>
    <w:rPr>
      <w:rFonts w:ascii="Arial" w:cs="Arial" w:hAnsi="Arial"/>
      <w:i w:val="1"/>
      <w:iCs w:val="1"/>
      <w:w w:val="100"/>
      <w:position w:val="0"/>
      <w:sz w:val="19"/>
      <w:szCs w:val="19"/>
      <w:shd w:color="auto" w:fill="ffffff" w:val="clear"/>
      <w:vertAlign w:val="baseline"/>
      <w:em w:val="none"/>
    </w:rPr>
  </w:style>
  <w:style w:type="character" w:styleId="81" w:customStyle="1">
    <w:name w:val="Основной текст (8) + Курсив1"/>
    <w:rPr>
      <w:rFonts w:ascii="Arial" w:cs="Arial" w:hAnsi="Arial"/>
      <w:i w:val="1"/>
      <w:iCs w:val="1"/>
      <w:w w:val="100"/>
      <w:position w:val="0"/>
      <w:sz w:val="19"/>
      <w:szCs w:val="19"/>
      <w:shd w:color="auto" w:fill="ffffff" w:val="clear"/>
      <w:vertAlign w:val="baseline"/>
      <w:em w:val="none"/>
    </w:rPr>
  </w:style>
  <w:style w:type="character" w:styleId="42" w:customStyle="1">
    <w:name w:val="Заголовок №42"/>
    <w:rPr>
      <w:rFonts w:ascii="Arial" w:cs="Arial" w:hAnsi="Arial"/>
      <w:b w:val="1"/>
      <w:bCs w:val="1"/>
      <w:w w:val="100"/>
      <w:position w:val="0"/>
      <w:sz w:val="22"/>
      <w:szCs w:val="22"/>
      <w:shd w:color="auto" w:fill="ffffff" w:val="clear"/>
      <w:vertAlign w:val="baseline"/>
      <w:em w:val="none"/>
    </w:rPr>
  </w:style>
  <w:style w:type="character" w:styleId="24" w:customStyle="1">
    <w:name w:val="Основной текст + Полужирный2"/>
    <w:rPr>
      <w:rFonts w:ascii="Times New Roman" w:cs="Arial" w:hAnsi="Times New Roman"/>
      <w:b w:val="1"/>
      <w:bCs w:val="1"/>
      <w:w w:val="100"/>
      <w:position w:val="0"/>
      <w:sz w:val="27"/>
      <w:szCs w:val="27"/>
      <w:shd w:color="auto" w:fill="ffffff" w:val="clear"/>
      <w:vertAlign w:val="baseline"/>
      <w:em w:val="none"/>
    </w:rPr>
  </w:style>
  <w:style w:type="character" w:styleId="1b" w:customStyle="1">
    <w:name w:val="Переглянуте гіперпосилання1"/>
    <w:rPr>
      <w:color w:val="800080"/>
      <w:w w:val="100"/>
      <w:position w:val="0"/>
      <w:u w:val="single"/>
      <w:vertAlign w:val="baseline"/>
      <w:em w:val="none"/>
    </w:rPr>
  </w:style>
  <w:style w:type="character" w:styleId="af2" w:customStyle="1">
    <w:name w:val="Знак Знак"/>
    <w:rPr>
      <w:rFonts w:ascii="Tahoma" w:cs="Tahoma" w:hAnsi="Tahoma"/>
      <w:w w:val="100"/>
      <w:position w:val="0"/>
      <w:sz w:val="16"/>
      <w:szCs w:val="16"/>
      <w:vertAlign w:val="baseline"/>
      <w:em w:val="none"/>
      <w:lang w:bidi="ar-SA"/>
    </w:rPr>
  </w:style>
  <w:style w:type="character" w:styleId="rvts23" w:customStyle="1">
    <w:name w:val="rvts23"/>
    <w:rPr>
      <w:w w:val="100"/>
      <w:position w:val="0"/>
      <w:vertAlign w:val="baseline"/>
      <w:em w:val="none"/>
    </w:rPr>
  </w:style>
  <w:style w:type="character" w:styleId="rvts9" w:customStyle="1">
    <w:name w:val="rvts9"/>
    <w:rPr>
      <w:w w:val="100"/>
      <w:position w:val="0"/>
      <w:vertAlign w:val="baseline"/>
      <w:em w:val="none"/>
    </w:rPr>
  </w:style>
  <w:style w:type="character" w:styleId="163LucidaSansUnicode10" w:customStyle="1">
    <w:name w:val="Основной текст (163) + Lucida Sans Unicode10"/>
    <w:rPr>
      <w:rFonts w:ascii="Lucida Sans Unicode" w:cs="Lucida Sans Unicode" w:hAnsi="Lucida Sans Unicode"/>
      <w:strike w:val="0"/>
      <w:dstrike w:val="0"/>
      <w:spacing w:val="-10"/>
      <w:w w:val="100"/>
      <w:position w:val="0"/>
      <w:sz w:val="20"/>
      <w:szCs w:val="20"/>
      <w:u w:val="none"/>
      <w:vertAlign w:val="baseline"/>
      <w:em w:val="none"/>
    </w:rPr>
  </w:style>
  <w:style w:type="character" w:styleId="163LucidaSansUnicode9" w:customStyle="1">
    <w:name w:val="Основной текст (163) + Lucida Sans Unicode9"/>
    <w:rPr>
      <w:rFonts w:ascii="Lucida Sans Unicode" w:cs="Lucida Sans Unicode" w:hAnsi="Lucida Sans Unicode"/>
      <w:i w:val="1"/>
      <w:iCs w:val="1"/>
      <w:strike w:val="0"/>
      <w:dstrike w:val="0"/>
      <w:spacing w:val="-20"/>
      <w:w w:val="100"/>
      <w:position w:val="0"/>
      <w:sz w:val="23"/>
      <w:szCs w:val="23"/>
      <w:u w:val="none"/>
      <w:vertAlign w:val="baseline"/>
      <w:em w:val="none"/>
    </w:rPr>
  </w:style>
  <w:style w:type="character" w:styleId="rvts64" w:customStyle="1">
    <w:name w:val="rvts64"/>
    <w:rPr>
      <w:w w:val="100"/>
      <w:position w:val="0"/>
      <w:vertAlign w:val="baseline"/>
      <w:em w:val="none"/>
    </w:rPr>
  </w:style>
  <w:style w:type="character" w:styleId="dat0" w:customStyle="1">
    <w:name w:val="dat0"/>
    <w:rPr>
      <w:w w:val="100"/>
      <w:position w:val="0"/>
      <w:vertAlign w:val="baseline"/>
      <w:em w:val="none"/>
    </w:rPr>
  </w:style>
  <w:style w:type="paragraph" w:styleId="Heading" w:customStyle="1">
    <w:name w:val="Heading"/>
    <w:basedOn w:val="15"/>
    <w:next w:val="1c"/>
    <w:pPr>
      <w:keepNext w:val="1"/>
      <w:spacing w:after="120" w:before="240"/>
    </w:pPr>
    <w:rPr>
      <w:rFonts w:ascii="Liberation Sans" w:cs="Lucida Sans" w:eastAsia="Microsoft YaHei" w:hAnsi="Liberation Sans"/>
      <w:sz w:val="28"/>
      <w:szCs w:val="28"/>
    </w:rPr>
  </w:style>
  <w:style w:type="paragraph" w:styleId="1c" w:customStyle="1">
    <w:name w:val="Основний текст1"/>
    <w:basedOn w:val="15"/>
    <w:pPr>
      <w:spacing w:after="120"/>
    </w:pPr>
  </w:style>
  <w:style w:type="paragraph" w:styleId="af3">
    <w:name w:val="List"/>
    <w:basedOn w:val="1c"/>
  </w:style>
  <w:style w:type="paragraph" w:styleId="1d" w:customStyle="1">
    <w:name w:val="Назва об'єкта1"/>
    <w:basedOn w:val="15"/>
    <w:pPr>
      <w:suppressLineNumbers w:val="1"/>
      <w:spacing w:after="120" w:before="120"/>
    </w:pPr>
    <w:rPr>
      <w:i w:val="1"/>
      <w:iCs w:val="1"/>
      <w:sz w:val="24"/>
      <w:szCs w:val="24"/>
    </w:rPr>
  </w:style>
  <w:style w:type="paragraph" w:styleId="Index" w:customStyle="1">
    <w:name w:val="Index"/>
    <w:basedOn w:val="15"/>
    <w:pPr>
      <w:suppressLineNumbers w:val="1"/>
    </w:pPr>
  </w:style>
  <w:style w:type="paragraph" w:styleId="HeaderandFooter" w:customStyle="1">
    <w:name w:val="Header and Footer"/>
    <w:basedOn w:val="15"/>
    <w:pPr>
      <w:suppressLineNumbers w:val="1"/>
      <w:tabs>
        <w:tab w:val="center" w:pos="4819"/>
        <w:tab w:val="right" w:pos="9638"/>
      </w:tabs>
    </w:pPr>
  </w:style>
  <w:style w:type="paragraph" w:styleId="1e" w:customStyle="1">
    <w:name w:val="Верхній колонтитул1"/>
    <w:basedOn w:val="15"/>
    <w:pPr>
      <w:tabs>
        <w:tab w:val="center" w:pos="4677"/>
        <w:tab w:val="right" w:pos="9355"/>
      </w:tabs>
    </w:pPr>
  </w:style>
  <w:style w:type="paragraph" w:styleId="1f" w:customStyle="1">
    <w:name w:val="Нижній колонтитул1"/>
    <w:basedOn w:val="15"/>
    <w:pPr>
      <w:tabs>
        <w:tab w:val="center" w:pos="4677"/>
        <w:tab w:val="right" w:pos="9355"/>
      </w:tabs>
    </w:pPr>
  </w:style>
  <w:style w:type="paragraph" w:styleId="210" w:customStyle="1">
    <w:name w:val="Основний текст 21"/>
    <w:basedOn w:val="15"/>
    <w:pPr>
      <w:shd w:color="auto" w:fill="ffffff" w:val="clear"/>
      <w:tabs>
        <w:tab w:val="left" w:pos="1134"/>
      </w:tabs>
      <w:autoSpaceDE w:val="1"/>
      <w:spacing w:after="120" w:line="480" w:lineRule="auto"/>
      <w:ind w:left="0" w:firstLine="709"/>
      <w:jc w:val="both"/>
    </w:pPr>
    <w:rPr>
      <w:sz w:val="28"/>
      <w:szCs w:val="28"/>
      <w:lang w:val="uk-UA"/>
    </w:rPr>
  </w:style>
  <w:style w:type="character" w:styleId="25" w:customStyle="1">
    <w:name w:val="Основний текст 2 Знак"/>
    <w:rPr>
      <w:rFonts w:ascii="Times New Roman" w:cs="Times New Roman" w:eastAsia="Times New Roman" w:hAnsi="Times New Roman"/>
      <w:position w:val="0"/>
      <w:sz w:val="28"/>
      <w:szCs w:val="28"/>
      <w:shd w:color="auto" w:fill="ffffff" w:val="clear"/>
      <w:vertAlign w:val="baseline"/>
      <w:lang w:eastAsia="zh-CN" w:val="uk-UA"/>
    </w:rPr>
  </w:style>
  <w:style w:type="paragraph" w:styleId="211" w:customStyle="1">
    <w:name w:val="Зміст 21"/>
    <w:basedOn w:val="15"/>
    <w:next w:val="15"/>
    <w:pPr>
      <w:shd w:color="auto" w:fill="ffffff" w:val="clear"/>
      <w:autoSpaceDE w:val="1"/>
      <w:spacing w:line="288" w:lineRule="auto"/>
      <w:ind w:left="0" w:firstLine="709"/>
      <w:jc w:val="both"/>
    </w:pPr>
    <w:rPr>
      <w:sz w:val="28"/>
      <w:szCs w:val="28"/>
      <w:lang w:val="uk-UA"/>
    </w:rPr>
  </w:style>
  <w:style w:type="paragraph" w:styleId="Iauiue" w:customStyle="1">
    <w:name w:val="Iau?iue"/>
    <w:pPr>
      <w:suppressAutoHyphens w:val="1"/>
      <w:overflowPunct w:val="0"/>
      <w:autoSpaceDE w:val="0"/>
      <w:spacing w:line="1" w:lineRule="atLeast"/>
      <w:ind w:left="-1" w:hanging="1"/>
      <w:outlineLvl w:val="0"/>
    </w:pPr>
    <w:rPr>
      <w:rFonts w:ascii="Times New Roman" w:eastAsia="Times New Roman" w:hAnsi="Times New Roman"/>
      <w:position w:val="-1"/>
      <w:lang w:eastAsia="zh-CN" w:val="ru-RU"/>
    </w:rPr>
  </w:style>
  <w:style w:type="paragraph" w:styleId="310" w:customStyle="1">
    <w:name w:val="Основний текст з відступом 31"/>
    <w:basedOn w:val="15"/>
    <w:pPr>
      <w:widowControl w:val="1"/>
      <w:tabs>
        <w:tab w:val="left" w:pos="2694"/>
      </w:tabs>
      <w:autoSpaceDE w:val="1"/>
      <w:ind w:left="0" w:firstLine="709"/>
      <w:jc w:val="both"/>
    </w:pPr>
    <w:rPr>
      <w:sz w:val="24"/>
      <w:lang w:val="uk-UA"/>
    </w:rPr>
  </w:style>
  <w:style w:type="character" w:styleId="34" w:customStyle="1">
    <w:name w:val="Основний текст з відступом 3 Знак"/>
    <w:rPr>
      <w:rFonts w:ascii="Times New Roman" w:cs="Times New Roman" w:eastAsia="Times New Roman" w:hAnsi="Times New Roman"/>
      <w:position w:val="0"/>
      <w:sz w:val="24"/>
      <w:szCs w:val="20"/>
      <w:vertAlign w:val="baseline"/>
      <w:lang w:eastAsia="zh-CN" w:val="uk-UA"/>
    </w:rPr>
  </w:style>
  <w:style w:type="paragraph" w:styleId="1f0" w:customStyle="1">
    <w:name w:val="Текст у виносці1"/>
    <w:basedOn w:val="15"/>
    <w:rPr>
      <w:rFonts w:ascii="Tahoma" w:cs="Tahoma" w:hAnsi="Tahoma"/>
      <w:sz w:val="16"/>
      <w:szCs w:val="16"/>
    </w:rPr>
  </w:style>
  <w:style w:type="character" w:styleId="af4" w:customStyle="1">
    <w:name w:val="Текст у виносці Знак"/>
    <w:rPr>
      <w:rFonts w:ascii="Tahoma" w:cs="Tahoma" w:eastAsia="Times New Roman" w:hAnsi="Tahoma"/>
      <w:position w:val="0"/>
      <w:sz w:val="16"/>
      <w:szCs w:val="16"/>
      <w:vertAlign w:val="baseline"/>
      <w:lang w:eastAsia="zh-CN" w:val="ru-RU"/>
    </w:rPr>
  </w:style>
  <w:style w:type="paragraph" w:styleId="HTML1" w:customStyle="1">
    <w:name w:val="Стандартний HTML1"/>
    <w:basedOn w:val="15"/>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1"/>
    </w:pPr>
    <w:rPr>
      <w:rFonts w:ascii="Courier New" w:cs="Courier New" w:hAnsi="Courier New"/>
    </w:rPr>
  </w:style>
  <w:style w:type="character" w:styleId="HTML0" w:customStyle="1">
    <w:name w:val="Стандартний HTML Знак"/>
    <w:rPr>
      <w:rFonts w:ascii="Courier New" w:cs="Courier New" w:eastAsia="Times New Roman" w:hAnsi="Courier New"/>
      <w:position w:val="-1"/>
      <w:sz w:val="20"/>
      <w:szCs w:val="20"/>
      <w:vertAlign w:val="baseline"/>
      <w:lang w:eastAsia="zh-CN" w:val="ru-RU"/>
    </w:rPr>
  </w:style>
  <w:style w:type="paragraph" w:styleId="1f1" w:customStyle="1">
    <w:name w:val="Текст1"/>
    <w:basedOn w:val="15"/>
    <w:pPr>
      <w:widowControl w:val="1"/>
      <w:autoSpaceDE w:val="1"/>
    </w:pPr>
    <w:rPr>
      <w:rFonts w:ascii="Courier New" w:cs="Courier New" w:hAnsi="Courier New"/>
    </w:rPr>
  </w:style>
  <w:style w:type="paragraph" w:styleId="af5" w:customStyle="1">
    <w:name w:val="Îáû÷íûé"/>
    <w:pPr>
      <w:suppressAutoHyphens w:val="1"/>
      <w:spacing w:line="1" w:lineRule="atLeast"/>
      <w:ind w:left="-1" w:hanging="1"/>
      <w:textAlignment w:val="top"/>
      <w:outlineLvl w:val="0"/>
    </w:pPr>
    <w:rPr>
      <w:rFonts w:ascii="Times New Roman" w:eastAsia="Times New Roman" w:hAnsi="Times New Roman"/>
      <w:position w:val="-1"/>
      <w:lang w:eastAsia="zh-CN" w:val="ru-RU"/>
    </w:rPr>
  </w:style>
  <w:style w:type="paragraph" w:styleId="af6" w:customStyle="1">
    <w:name w:val="Обычный с отступом"/>
    <w:basedOn w:val="15"/>
    <w:pPr>
      <w:widowControl w:val="1"/>
      <w:autoSpaceDE w:val="1"/>
      <w:spacing w:before="120"/>
      <w:ind w:left="0" w:firstLine="720"/>
      <w:jc w:val="both"/>
    </w:pPr>
    <w:rPr>
      <w:i w:val="1"/>
      <w:sz w:val="28"/>
      <w:szCs w:val="28"/>
      <w:lang w:val="uk-UA"/>
    </w:rPr>
  </w:style>
  <w:style w:type="paragraph" w:styleId="1f2" w:customStyle="1">
    <w:name w:val="Абзац списку1"/>
    <w:basedOn w:val="15"/>
    <w:pPr>
      <w:widowControl w:val="1"/>
      <w:autoSpaceDE w:val="1"/>
      <w:spacing w:after="200" w:line="276" w:lineRule="auto"/>
      <w:ind w:left="720" w:firstLine="0"/>
    </w:pPr>
    <w:rPr>
      <w:rFonts w:ascii="Calibri" w:eastAsia="Calibri" w:hAnsi="Calibri"/>
      <w:sz w:val="22"/>
      <w:szCs w:val="22"/>
    </w:rPr>
  </w:style>
  <w:style w:type="paragraph" w:styleId="1f3" w:customStyle="1">
    <w:name w:val="Абзац списка1"/>
    <w:basedOn w:val="15"/>
    <w:pPr>
      <w:widowControl w:val="1"/>
      <w:autoSpaceDE w:val="1"/>
      <w:spacing w:after="200" w:line="276" w:lineRule="auto"/>
      <w:ind w:left="720" w:firstLine="0"/>
    </w:pPr>
    <w:rPr>
      <w:rFonts w:ascii="Calibri" w:eastAsia="Calibri" w:hAnsi="Calibri"/>
      <w:sz w:val="22"/>
      <w:szCs w:val="22"/>
    </w:rPr>
  </w:style>
  <w:style w:type="paragraph" w:styleId="a20" w:customStyle="1">
    <w:name w:val="a2"/>
    <w:basedOn w:val="15"/>
    <w:pPr>
      <w:widowControl w:val="1"/>
      <w:autoSpaceDE w:val="1"/>
      <w:spacing w:after="100" w:before="100"/>
    </w:pPr>
    <w:rPr>
      <w:sz w:val="24"/>
      <w:szCs w:val="24"/>
    </w:rPr>
  </w:style>
  <w:style w:type="paragraph" w:styleId="a30" w:customStyle="1">
    <w:name w:val="a3"/>
    <w:basedOn w:val="15"/>
    <w:pPr>
      <w:widowControl w:val="1"/>
      <w:autoSpaceDE w:val="1"/>
      <w:spacing w:after="100" w:before="100"/>
    </w:pPr>
    <w:rPr>
      <w:sz w:val="24"/>
      <w:szCs w:val="24"/>
    </w:rPr>
  </w:style>
  <w:style w:type="paragraph" w:styleId="a40" w:customStyle="1">
    <w:name w:val="a4"/>
    <w:basedOn w:val="15"/>
    <w:pPr>
      <w:widowControl w:val="1"/>
      <w:autoSpaceDE w:val="1"/>
      <w:spacing w:after="100" w:before="100"/>
    </w:pPr>
    <w:rPr>
      <w:sz w:val="24"/>
      <w:szCs w:val="24"/>
    </w:rPr>
  </w:style>
  <w:style w:type="paragraph" w:styleId="a50" w:customStyle="1">
    <w:name w:val="a5"/>
    <w:basedOn w:val="15"/>
    <w:pPr>
      <w:widowControl w:val="1"/>
      <w:autoSpaceDE w:val="1"/>
      <w:spacing w:after="100" w:before="100"/>
    </w:pPr>
    <w:rPr>
      <w:sz w:val="24"/>
      <w:szCs w:val="24"/>
    </w:rPr>
  </w:style>
  <w:style w:type="paragraph" w:styleId="311" w:customStyle="1">
    <w:name w:val="Основной текст (3)1"/>
    <w:basedOn w:val="15"/>
    <w:pPr>
      <w:widowControl w:val="1"/>
      <w:shd w:color="auto" w:fill="ffffff" w:val="clear"/>
      <w:autoSpaceDE w:val="1"/>
      <w:spacing w:before="4560" w:line="276" w:lineRule="atLeast"/>
      <w:ind w:left="0" w:hanging="800"/>
    </w:pPr>
    <w:rPr>
      <w:rFonts w:ascii="Arial" w:cs="Arial" w:hAnsi="Arial"/>
      <w:b w:val="1"/>
      <w:bCs w:val="1"/>
      <w:shd w:color="auto" w:fill="ffffff" w:val="clear"/>
    </w:rPr>
  </w:style>
  <w:style w:type="paragraph" w:styleId="35" w:customStyle="1">
    <w:name w:val="Заголовок №3"/>
    <w:basedOn w:val="15"/>
    <w:pPr>
      <w:widowControl w:val="1"/>
      <w:shd w:color="auto" w:fill="ffffff" w:val="clear"/>
      <w:autoSpaceDE w:val="1"/>
      <w:spacing w:after="360" w:line="240" w:lineRule="atLeast"/>
    </w:pPr>
    <w:rPr>
      <w:rFonts w:ascii="Arial" w:cs="Arial" w:hAnsi="Arial"/>
      <w:b w:val="1"/>
      <w:bCs w:val="1"/>
      <w:sz w:val="27"/>
      <w:szCs w:val="27"/>
      <w:shd w:color="auto" w:fill="ffffff" w:val="clear"/>
    </w:rPr>
  </w:style>
  <w:style w:type="paragraph" w:styleId="71" w:customStyle="1">
    <w:name w:val="Основной текст (7)"/>
    <w:basedOn w:val="15"/>
    <w:pPr>
      <w:widowControl w:val="1"/>
      <w:shd w:color="auto" w:fill="ffffff" w:val="clear"/>
      <w:autoSpaceDE w:val="1"/>
      <w:spacing w:before="240" w:line="274" w:lineRule="atLeast"/>
      <w:jc w:val="both"/>
    </w:pPr>
    <w:rPr>
      <w:rFonts w:ascii="Arial" w:cs="Arial" w:hAnsi="Arial"/>
      <w:b w:val="1"/>
      <w:bCs w:val="1"/>
      <w:i w:val="1"/>
      <w:iCs w:val="1"/>
      <w:shd w:color="auto" w:fill="ffffff" w:val="clear"/>
    </w:rPr>
  </w:style>
  <w:style w:type="paragraph" w:styleId="410" w:customStyle="1">
    <w:name w:val="Заголовок №41"/>
    <w:basedOn w:val="15"/>
    <w:pPr>
      <w:widowControl w:val="1"/>
      <w:shd w:color="auto" w:fill="ffffff" w:val="clear"/>
      <w:autoSpaceDE w:val="1"/>
      <w:spacing w:after="300" w:line="240" w:lineRule="atLeast"/>
    </w:pPr>
    <w:rPr>
      <w:rFonts w:ascii="Arial" w:cs="Arial" w:hAnsi="Arial"/>
      <w:b w:val="1"/>
      <w:bCs w:val="1"/>
      <w:shd w:color="auto" w:fill="ffffff" w:val="clear"/>
    </w:rPr>
  </w:style>
  <w:style w:type="paragraph" w:styleId="83" w:customStyle="1">
    <w:name w:val="Основной текст (8)"/>
    <w:basedOn w:val="15"/>
    <w:pPr>
      <w:widowControl w:val="1"/>
      <w:shd w:color="auto" w:fill="ffffff" w:val="clear"/>
      <w:autoSpaceDE w:val="1"/>
      <w:spacing w:before="240" w:line="226" w:lineRule="atLeast"/>
      <w:ind w:left="0" w:firstLine="560"/>
      <w:jc w:val="both"/>
    </w:pPr>
    <w:rPr>
      <w:rFonts w:ascii="Arial" w:cs="Arial" w:hAnsi="Arial"/>
      <w:sz w:val="19"/>
      <w:szCs w:val="19"/>
      <w:shd w:color="auto" w:fill="ffffff" w:val="clear"/>
    </w:rPr>
  </w:style>
  <w:style w:type="paragraph" w:styleId="1f4" w:customStyle="1">
    <w:name w:val="Обычный (веб)1"/>
    <w:basedOn w:val="15"/>
    <w:pPr>
      <w:widowControl w:val="1"/>
      <w:autoSpaceDE w:val="1"/>
      <w:spacing w:after="100" w:before="100"/>
    </w:pPr>
    <w:rPr>
      <w:sz w:val="24"/>
      <w:szCs w:val="24"/>
    </w:rPr>
  </w:style>
  <w:style w:type="paragraph" w:styleId="rvps17" w:customStyle="1">
    <w:name w:val="rvps17"/>
    <w:basedOn w:val="15"/>
    <w:pPr>
      <w:widowControl w:val="1"/>
      <w:autoSpaceDE w:val="1"/>
      <w:spacing w:after="100" w:before="100"/>
    </w:pPr>
    <w:rPr>
      <w:sz w:val="24"/>
      <w:szCs w:val="24"/>
    </w:rPr>
  </w:style>
  <w:style w:type="paragraph" w:styleId="rvps7" w:customStyle="1">
    <w:name w:val="rvps7"/>
    <w:basedOn w:val="15"/>
    <w:pPr>
      <w:widowControl w:val="1"/>
      <w:autoSpaceDE w:val="1"/>
      <w:spacing w:after="100" w:before="100"/>
    </w:pPr>
    <w:rPr>
      <w:sz w:val="24"/>
      <w:szCs w:val="24"/>
    </w:rPr>
  </w:style>
  <w:style w:type="paragraph" w:styleId="rvps6" w:customStyle="1">
    <w:name w:val="rvps6"/>
    <w:basedOn w:val="15"/>
    <w:pPr>
      <w:widowControl w:val="1"/>
      <w:autoSpaceDE w:val="1"/>
      <w:spacing w:after="100" w:before="100"/>
    </w:pPr>
    <w:rPr>
      <w:sz w:val="24"/>
      <w:szCs w:val="24"/>
    </w:rPr>
  </w:style>
  <w:style w:type="paragraph" w:styleId="TableContents" w:customStyle="1">
    <w:name w:val="Table Contents"/>
    <w:basedOn w:val="15"/>
    <w:pPr>
      <w:suppressLineNumbers w:val="1"/>
    </w:pPr>
  </w:style>
  <w:style w:type="paragraph" w:styleId="TableHeading" w:customStyle="1">
    <w:name w:val="Table Heading"/>
    <w:basedOn w:val="TableContents"/>
    <w:pPr>
      <w:jc w:val="center"/>
    </w:pPr>
    <w:rPr>
      <w:b w:val="1"/>
      <w:bCs w:val="1"/>
    </w:rPr>
  </w:style>
  <w:style w:type="paragraph" w:styleId="FrameContents" w:customStyle="1">
    <w:name w:val="Frame Contents"/>
    <w:basedOn w:val="15"/>
  </w:style>
  <w:style w:type="character" w:styleId="1f5" w:customStyle="1">
    <w:name w:val="Незакрита згадка1"/>
    <w:rPr>
      <w:color w:val="605e5c"/>
      <w:w w:val="100"/>
      <w:position w:val="0"/>
      <w:shd w:color="auto" w:fill="e1dfdd" w:val="clear"/>
      <w:vertAlign w:val="baseline"/>
      <w:em w:val="none"/>
    </w:rPr>
  </w:style>
  <w:style w:type="paragraph" w:styleId="1f6" w:customStyle="1">
    <w:name w:val="Підзаголовок1"/>
    <w:basedOn w:val="10"/>
    <w:next w:val="10"/>
    <w:pPr>
      <w:keepNext w:val="1"/>
      <w:keepLines w:val="1"/>
      <w:spacing w:after="80" w:before="360" w:line="240" w:lineRule="auto"/>
    </w:pPr>
    <w:rPr>
      <w:rFonts w:ascii="Georgia" w:cs="Georgia" w:eastAsia="Georgia" w:hAnsi="Georgia"/>
      <w:i w:val="1"/>
      <w:color w:val="666666"/>
      <w:sz w:val="48"/>
      <w:szCs w:val="48"/>
      <w:lang w:eastAsia="en-GB" w:val="ru-RU"/>
    </w:rPr>
  </w:style>
  <w:style w:type="character" w:styleId="af7" w:customStyle="1">
    <w:name w:val="Підзаголовок Знак"/>
    <w:rPr>
      <w:rFonts w:ascii="Georgia" w:cs="Georgia" w:eastAsia="Georgia" w:hAnsi="Georgia"/>
      <w:i w:val="1"/>
      <w:color w:val="666666"/>
      <w:sz w:val="48"/>
      <w:szCs w:val="48"/>
      <w:lang w:eastAsia="en-GB" w:val="ru-RU"/>
    </w:rPr>
  </w:style>
  <w:style w:type="paragraph" w:styleId="1f7" w:customStyle="1">
    <w:name w:val="Текст примітки1"/>
    <w:basedOn w:val="10"/>
    <w:pPr>
      <w:spacing w:after="0" w:line="240" w:lineRule="auto"/>
    </w:pPr>
    <w:rPr>
      <w:rFonts w:ascii="Times New Roman" w:eastAsia="Times New Roman" w:hAnsi="Times New Roman"/>
      <w:sz w:val="20"/>
      <w:szCs w:val="20"/>
      <w:lang w:eastAsia="en-GB" w:val="ru-RU"/>
    </w:rPr>
  </w:style>
  <w:style w:type="character" w:styleId="af8" w:customStyle="1">
    <w:name w:val="Текст примітки Знак"/>
    <w:rPr>
      <w:rFonts w:ascii="Times New Roman" w:cs="Times New Roman" w:eastAsia="Times New Roman" w:hAnsi="Times New Roman"/>
      <w:sz w:val="20"/>
      <w:szCs w:val="20"/>
      <w:lang w:eastAsia="en-GB" w:val="ru-RU"/>
    </w:rPr>
  </w:style>
  <w:style w:type="character" w:styleId="1f8" w:customStyle="1">
    <w:name w:val="Знак примітки1"/>
    <w:rPr>
      <w:sz w:val="16"/>
      <w:szCs w:val="16"/>
    </w:rPr>
  </w:style>
  <w:style w:type="paragraph" w:styleId="1f9" w:customStyle="1">
    <w:name w:val="Звичайний (веб)1"/>
    <w:basedOn w:val="10"/>
    <w:pPr>
      <w:spacing w:after="100" w:before="100" w:line="240" w:lineRule="auto"/>
    </w:pPr>
    <w:rPr>
      <w:rFonts w:ascii="Times New Roman" w:eastAsia="Times New Roman" w:hAnsi="Times New Roman"/>
      <w:sz w:val="24"/>
      <w:szCs w:val="24"/>
      <w:lang w:eastAsia="en-GB" w:val="en-GB"/>
    </w:rPr>
  </w:style>
  <w:style w:type="paragraph" w:styleId="1fa" w:customStyle="1">
    <w:name w:val="Тема примітки1"/>
    <w:basedOn w:val="1f7"/>
    <w:next w:val="1f7"/>
    <w:rPr>
      <w:b w:val="1"/>
      <w:bCs w:val="1"/>
    </w:rPr>
  </w:style>
  <w:style w:type="character" w:styleId="af9" w:customStyle="1">
    <w:name w:val="Тема примітки Знак"/>
    <w:rPr>
      <w:rFonts w:ascii="Times New Roman" w:cs="Times New Roman" w:eastAsia="Times New Roman" w:hAnsi="Times New Roman"/>
      <w:b w:val="1"/>
      <w:bCs w:val="1"/>
      <w:sz w:val="20"/>
      <w:szCs w:val="20"/>
      <w:lang w:eastAsia="en-GB" w:val="ru-RU"/>
    </w:rPr>
  </w:style>
  <w:style w:type="character" w:styleId="26" w:customStyle="1">
    <w:name w:val="Основной текст (2) + Полужирный"/>
    <w:rPr>
      <w:rFonts w:ascii="Times New Roman" w:cs="Times New Roman" w:eastAsia="Times New Roman" w:hAnsi="Times New Roman"/>
      <w:b w:val="1"/>
      <w:bCs w:val="1"/>
      <w:i w:val="0"/>
      <w:iCs w:val="0"/>
      <w:strike w:val="0"/>
      <w:dstrike w:val="0"/>
      <w:color w:val="000000"/>
      <w:spacing w:val="0"/>
      <w:w w:val="100"/>
      <w:position w:val="0"/>
      <w:sz w:val="22"/>
      <w:szCs w:val="22"/>
      <w:u w:val="none"/>
      <w:vertAlign w:val="baseline"/>
      <w:lang w:bidi="uk-UA" w:eastAsia="uk-UA" w:val="uk-UA"/>
    </w:rPr>
  </w:style>
  <w:style w:type="character" w:styleId="27" w:customStyle="1">
    <w:name w:val="Гіперпосилання2"/>
    <w:rPr>
      <w:color w:val="0000ff"/>
      <w:u w:val="single"/>
    </w:rPr>
  </w:style>
  <w:style w:type="paragraph" w:styleId="1fb" w:customStyle="1">
    <w:name w:val="Текст виноски1"/>
    <w:basedOn w:val="10"/>
    <w:rPr>
      <w:sz w:val="20"/>
      <w:szCs w:val="20"/>
    </w:rPr>
  </w:style>
  <w:style w:type="character" w:styleId="1fc" w:customStyle="1">
    <w:name w:val="Знак виноски1"/>
    <w:rPr>
      <w:position w:val="0"/>
      <w:vertAlign w:val="superscript"/>
    </w:rPr>
  </w:style>
  <w:style w:type="paragraph" w:styleId="28" w:customStyle="1">
    <w:name w:val="Верхній колонтитул2"/>
    <w:basedOn w:val="10"/>
    <w:pPr>
      <w:tabs>
        <w:tab w:val="center" w:pos="4677"/>
        <w:tab w:val="right" w:pos="9355"/>
      </w:tabs>
    </w:pPr>
  </w:style>
  <w:style w:type="paragraph" w:styleId="29" w:customStyle="1">
    <w:name w:val="Нижній колонтитул2"/>
    <w:basedOn w:val="10"/>
    <w:pPr>
      <w:tabs>
        <w:tab w:val="center" w:pos="4677"/>
        <w:tab w:val="right" w:pos="9355"/>
      </w:tabs>
    </w:pPr>
  </w:style>
  <w:style w:type="character" w:styleId="afa" w:customStyle="1">
    <w:name w:val="Незакрита згадка"/>
    <w:rPr>
      <w:color w:val="605e5c"/>
      <w:shd w:color="auto" w:fill="e1dfdd" w:val="clear"/>
    </w:rPr>
  </w:style>
  <w:style w:type="character" w:styleId="2a" w:customStyle="1">
    <w:name w:val="Переглянуте гіперпосилання2"/>
    <w:rPr>
      <w:color w:val="954f72"/>
      <w:u w:val="single"/>
    </w:rPr>
  </w:style>
  <w:style w:type="character" w:styleId="43" w:customStyle="1">
    <w:name w:val="Основной текст (4)_"/>
    <w:rPr>
      <w:rFonts w:ascii="Arial" w:cs="Arial" w:eastAsia="Arial" w:hAnsi="Arial"/>
      <w:color w:val="212529"/>
      <w:sz w:val="17"/>
      <w:szCs w:val="17"/>
    </w:rPr>
  </w:style>
  <w:style w:type="paragraph" w:styleId="44" w:customStyle="1">
    <w:name w:val="Основной текст (4)"/>
    <w:basedOn w:val="10"/>
    <w:pPr>
      <w:widowControl w:val="0"/>
      <w:spacing w:after="0" w:line="240" w:lineRule="auto"/>
      <w:jc w:val="center"/>
    </w:pPr>
    <w:rPr>
      <w:rFonts w:ascii="Arial" w:cs="Arial" w:eastAsia="Arial" w:hAnsi="Arial"/>
      <w:color w:val="212529"/>
      <w:sz w:val="17"/>
      <w:szCs w:val="17"/>
      <w:lang w:val="uk-UA"/>
    </w:rPr>
  </w:style>
  <w:style w:type="character" w:styleId="afb" w:customStyle="1">
    <w:name w:val="Верхній колонтитул Знак"/>
    <w:rPr>
      <w:sz w:val="22"/>
      <w:szCs w:val="22"/>
      <w:lang w:eastAsia="en-US" w:val="en-US"/>
    </w:rPr>
  </w:style>
  <w:style w:type="character" w:styleId="2b" w:customStyle="1">
    <w:name w:val="Заголовок №2_"/>
    <w:rPr>
      <w:rFonts w:ascii="Arial" w:cs="Arial" w:eastAsia="Arial" w:hAnsi="Arial"/>
      <w:b w:val="1"/>
      <w:bCs w:val="1"/>
      <w:u w:val="single"/>
    </w:rPr>
  </w:style>
  <w:style w:type="paragraph" w:styleId="2c" w:customStyle="1">
    <w:name w:val="Заголовок №2"/>
    <w:basedOn w:val="10"/>
    <w:pPr>
      <w:widowControl w:val="0"/>
      <w:spacing w:after="0" w:line="240" w:lineRule="auto"/>
      <w:jc w:val="center"/>
      <w:outlineLvl w:val="1"/>
    </w:pPr>
    <w:rPr>
      <w:rFonts w:ascii="Arial" w:cs="Arial" w:eastAsia="Arial" w:hAnsi="Arial"/>
      <w:b w:val="1"/>
      <w:bCs w:val="1"/>
      <w:sz w:val="20"/>
      <w:szCs w:val="20"/>
      <w:u w:val="single"/>
      <w:lang w:val="uk-UA"/>
    </w:rPr>
  </w:style>
  <w:style w:type="paragraph" w:styleId="afc">
    <w:name w:val="Body Text"/>
    <w:basedOn w:val="10"/>
    <w:pPr>
      <w:widowControl w:val="0"/>
      <w:spacing w:after="0" w:line="276" w:lineRule="auto"/>
    </w:pPr>
    <w:rPr>
      <w:rFonts w:ascii="Arial" w:cs="Arial" w:eastAsia="Arial" w:hAnsi="Arial"/>
      <w:color w:val="000000"/>
      <w:sz w:val="20"/>
      <w:szCs w:val="20"/>
    </w:rPr>
  </w:style>
  <w:style w:type="paragraph" w:styleId="afd">
    <w:name w:val="header"/>
    <w:link w:val="1fd"/>
    <w:uiPriority w:val="99"/>
    <w:unhideWhenUsed w:val="1"/>
    <w:pPr>
      <w:tabs>
        <w:tab w:val="center" w:pos="4819"/>
        <w:tab w:val="right" w:pos="9639"/>
      </w:tabs>
    </w:pPr>
  </w:style>
  <w:style w:type="character" w:styleId="1fd" w:customStyle="1">
    <w:name w:val="Верхний колонтитул Знак1"/>
    <w:basedOn w:val="a0"/>
    <w:link w:val="afd"/>
    <w:uiPriority w:val="99"/>
  </w:style>
  <w:style w:type="paragraph" w:styleId="afe">
    <w:name w:val="footer"/>
    <w:link w:val="1fe"/>
    <w:uiPriority w:val="99"/>
    <w:unhideWhenUsed w:val="1"/>
    <w:pPr>
      <w:tabs>
        <w:tab w:val="center" w:pos="4819"/>
        <w:tab w:val="right" w:pos="9639"/>
      </w:tabs>
    </w:pPr>
  </w:style>
  <w:style w:type="character" w:styleId="1fe" w:customStyle="1">
    <w:name w:val="Нижний колонтитул Знак1"/>
    <w:basedOn w:val="a0"/>
    <w:link w:val="afe"/>
    <w:uiPriority w:val="99"/>
  </w:style>
  <w:style w:type="table" w:styleId="aff" w:customStyle="1">
    <w:basedOn w:val="TableNormal0"/>
    <w:tblPr>
      <w:tblStyleRowBandSize w:val="1"/>
      <w:tblStyleColBandSize w:val="1"/>
      <w:tblCellMar>
        <w:top w:w="0.0" w:type="dxa"/>
        <w:left w:w="100.0" w:type="dxa"/>
        <w:bottom w:w="0.0" w:type="dxa"/>
        <w:right w:w="100.0" w:type="dxa"/>
      </w:tblCellMar>
    </w:tblPr>
  </w:style>
  <w:style w:type="table" w:styleId="aff0" w:customStyle="1">
    <w:basedOn w:val="TableNormal0"/>
    <w:tblPr>
      <w:tblStyleRowBandSize w:val="1"/>
      <w:tblStyleColBandSize w:val="1"/>
      <w:tblCellMar>
        <w:top w:w="0.0" w:type="dxa"/>
        <w:left w:w="100.0" w:type="dxa"/>
        <w:bottom w:w="0.0" w:type="dxa"/>
        <w:right w:w="100.0" w:type="dxa"/>
      </w:tblCellMar>
    </w:tblPr>
  </w:style>
  <w:style w:type="table" w:styleId="aff1" w:customStyle="1">
    <w:basedOn w:val="TableNormal0"/>
    <w:tblPr>
      <w:tblStyleRowBandSize w:val="1"/>
      <w:tblStyleColBandSize w:val="1"/>
      <w:tblCellMar>
        <w:top w:w="0.0" w:type="dxa"/>
        <w:left w:w="100.0" w:type="dxa"/>
        <w:bottom w:w="0.0" w:type="dxa"/>
        <w:right w:w="100.0" w:type="dxa"/>
      </w:tblCellMar>
    </w:tblPr>
  </w:style>
  <w:style w:type="table" w:styleId="aff2" w:customStyle="1">
    <w:basedOn w:val="TableNormal0"/>
    <w:tblPr>
      <w:tblStyleRowBandSize w:val="1"/>
      <w:tblStyleColBandSize w:val="1"/>
      <w:tblCellMar>
        <w:top w:w="0.0" w:type="dxa"/>
        <w:left w:w="100.0" w:type="dxa"/>
        <w:bottom w:w="0.0" w:type="dxa"/>
        <w:right w:w="100.0" w:type="dxa"/>
      </w:tblCellMar>
    </w:tblPr>
  </w:style>
  <w:style w:type="table" w:styleId="aff3" w:customStyle="1">
    <w:basedOn w:val="TableNormal0"/>
    <w:tblPr>
      <w:tblStyleRowBandSize w:val="1"/>
      <w:tblStyleColBandSize w:val="1"/>
      <w:tblCellMar>
        <w:top w:w="0.0" w:type="dxa"/>
        <w:left w:w="100.0" w:type="dxa"/>
        <w:bottom w:w="0.0" w:type="dxa"/>
        <w:right w:w="100.0" w:type="dxa"/>
      </w:tblCellMar>
    </w:tblPr>
  </w:style>
  <w:style w:type="table" w:styleId="aff4" w:customStyle="1">
    <w:basedOn w:val="TableNormal0"/>
    <w:tblPr>
      <w:tblStyleRowBandSize w:val="1"/>
      <w:tblStyleColBandSize w:val="1"/>
      <w:tblCellMar>
        <w:top w:w="0.0" w:type="dxa"/>
        <w:left w:w="100.0" w:type="dxa"/>
        <w:bottom w:w="0.0" w:type="dxa"/>
        <w:right w:w="100.0" w:type="dxa"/>
      </w:tblCellMar>
    </w:tblPr>
  </w:style>
  <w:style w:type="table" w:styleId="aff5" w:customStyle="1">
    <w:basedOn w:val="TableNormal0"/>
    <w:tblPr>
      <w:tblStyleRowBandSize w:val="1"/>
      <w:tblStyleColBandSize w:val="1"/>
      <w:tblCellMar>
        <w:top w:w="0.0" w:type="dxa"/>
        <w:left w:w="100.0" w:type="dxa"/>
        <w:bottom w:w="0.0" w:type="dxa"/>
        <w:right w:w="100.0" w:type="dxa"/>
      </w:tblCellMar>
    </w:tblPr>
  </w:style>
  <w:style w:type="table" w:styleId="aff6" w:customStyle="1">
    <w:basedOn w:val="TableNormal0"/>
    <w:tblPr>
      <w:tblStyleRowBandSize w:val="1"/>
      <w:tblStyleColBandSize w:val="1"/>
      <w:tblCellMar>
        <w:top w:w="0.0" w:type="dxa"/>
        <w:left w:w="100.0" w:type="dxa"/>
        <w:bottom w:w="0.0" w:type="dxa"/>
        <w:right w:w="100.0" w:type="dxa"/>
      </w:tblCellMar>
    </w:tblPr>
  </w:style>
  <w:style w:type="table" w:styleId="aff7" w:customStyle="1">
    <w:basedOn w:val="TableNormal0"/>
    <w:tblPr>
      <w:tblStyleRowBandSize w:val="1"/>
      <w:tblStyleColBandSize w:val="1"/>
      <w:tblCellMar>
        <w:top w:w="0.0" w:type="dxa"/>
        <w:left w:w="100.0" w:type="dxa"/>
        <w:bottom w:w="0.0" w:type="dxa"/>
        <w:right w:w="100.0" w:type="dxa"/>
      </w:tblCellMar>
    </w:tblPr>
  </w:style>
  <w:style w:type="table" w:styleId="aff8" w:customStyle="1">
    <w:basedOn w:val="TableNormal0"/>
    <w:tblPr>
      <w:tblStyleRowBandSize w:val="1"/>
      <w:tblStyleColBandSize w:val="1"/>
      <w:tblCellMar>
        <w:top w:w="0.0" w:type="dxa"/>
        <w:left w:w="100.0" w:type="dxa"/>
        <w:bottom w:w="0.0" w:type="dxa"/>
        <w:right w:w="100.0" w:type="dxa"/>
      </w:tblCellMar>
    </w:tblPr>
  </w:style>
  <w:style w:type="paragraph" w:styleId="aff9">
    <w:name w:val="No Spacing"/>
    <w:link w:val="affa"/>
    <w:uiPriority w:val="1"/>
    <w:qFormat w:val="1"/>
    <w:rsid w:val="00FE52CD"/>
  </w:style>
  <w:style w:type="table" w:styleId="affb">
    <w:name w:val="Table Grid"/>
    <w:basedOn w:val="a1"/>
    <w:uiPriority w:val="39"/>
    <w:rsid w:val="0089756A"/>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1ff" w:customStyle="1">
    <w:name w:val="Звичайний 1"/>
    <w:basedOn w:val="aff9"/>
    <w:link w:val="1ff0"/>
    <w:qFormat w:val="1"/>
    <w:rsid w:val="00C4402F"/>
    <w:pPr>
      <w:spacing w:after="60" w:before="60"/>
    </w:pPr>
    <w:rPr>
      <w:rFonts w:ascii="Times New Roman" w:cs="Times New Roman" w:hAnsi="Times New Roman"/>
      <w:color w:val="000000"/>
      <w:sz w:val="28"/>
    </w:rPr>
  </w:style>
  <w:style w:type="paragraph" w:styleId="2d" w:customStyle="1">
    <w:name w:val="Звичайний 2"/>
    <w:rsid w:val="00C4402F"/>
    <w:pPr>
      <w:widowControl w:val="0"/>
      <w:tabs>
        <w:tab w:val="left" w:pos="0"/>
      </w:tabs>
      <w:spacing w:after="60" w:before="60" w:line="276" w:lineRule="auto"/>
    </w:pPr>
    <w:rPr>
      <w:rFonts w:ascii="Times New Roman" w:cs="Times New Roman" w:hAnsi="Times New Roman"/>
      <w:b w:val="1"/>
      <w:sz w:val="28"/>
    </w:rPr>
  </w:style>
  <w:style w:type="character" w:styleId="affa" w:customStyle="1">
    <w:name w:val="Без интервала Знак"/>
    <w:basedOn w:val="a0"/>
    <w:link w:val="aff9"/>
    <w:uiPriority w:val="1"/>
    <w:rsid w:val="00C4402F"/>
  </w:style>
  <w:style w:type="character" w:styleId="1ff0" w:customStyle="1">
    <w:name w:val="Звичайний 1 Знак"/>
    <w:basedOn w:val="affa"/>
    <w:link w:val="1ff"/>
    <w:rsid w:val="00C4402F"/>
    <w:rPr>
      <w:rFonts w:ascii="Times New Roman" w:cs="Times New Roman" w:hAnsi="Times New Roman"/>
      <w:color w:val="000000"/>
      <w:sz w:val="28"/>
    </w:rPr>
  </w:style>
  <w:style w:type="character" w:styleId="affc">
    <w:name w:val="Hyperlink"/>
    <w:basedOn w:val="a0"/>
    <w:uiPriority w:val="99"/>
    <w:unhideWhenUsed w:val="1"/>
    <w:rsid w:val="00AC219E"/>
    <w:rPr>
      <w:color w:val="0000ff" w:themeColor="hyperlink"/>
      <w:u w:val="single"/>
    </w:rPr>
  </w:style>
  <w:style w:type="table" w:styleId="affe" w:customStyle="1">
    <w:basedOn w:val="TableNormal0"/>
    <w:tblPr>
      <w:tblStyleRowBandSize w:val="1"/>
      <w:tblStyleColBandSize w:val="1"/>
      <w:tblCellMar>
        <w:top w:w="0.0" w:type="dxa"/>
        <w:left w:w="100.0" w:type="dxa"/>
        <w:bottom w:w="0.0" w:type="dxa"/>
        <w:right w:w="100.0" w:type="dxa"/>
      </w:tblCellMar>
    </w:tblPr>
  </w:style>
  <w:style w:type="table" w:styleId="afff" w:customStyle="1">
    <w:basedOn w:val="TableNormal0"/>
    <w:tblPr>
      <w:tblStyleRowBandSize w:val="1"/>
      <w:tblStyleColBandSize w:val="1"/>
      <w:tblCellMar>
        <w:top w:w="0.0" w:type="dxa"/>
        <w:left w:w="100.0" w:type="dxa"/>
        <w:bottom w:w="0.0" w:type="dxa"/>
        <w:right w:w="100.0" w:type="dxa"/>
      </w:tblCellMar>
    </w:tblPr>
  </w:style>
  <w:style w:type="table" w:styleId="afff0" w:customStyle="1">
    <w:basedOn w:val="TableNormal0"/>
    <w:tblPr>
      <w:tblStyleRowBandSize w:val="1"/>
      <w:tblStyleColBandSize w:val="1"/>
      <w:tblCellMar>
        <w:top w:w="0.0" w:type="dxa"/>
        <w:left w:w="100.0" w:type="dxa"/>
        <w:bottom w:w="0.0" w:type="dxa"/>
        <w:right w:w="100.0" w:type="dxa"/>
      </w:tblCellMar>
    </w:tblPr>
  </w:style>
  <w:style w:type="table" w:styleId="afff1" w:customStyle="1">
    <w:basedOn w:val="TableNormal0"/>
    <w:tblPr>
      <w:tblStyleRowBandSize w:val="1"/>
      <w:tblStyleColBandSize w:val="1"/>
      <w:tblCellMar>
        <w:top w:w="0.0" w:type="dxa"/>
        <w:left w:w="100.0" w:type="dxa"/>
        <w:bottom w:w="0.0" w:type="dxa"/>
        <w:right w:w="100.0" w:type="dxa"/>
      </w:tblCellMar>
    </w:tblPr>
  </w:style>
  <w:style w:type="table" w:styleId="afff2" w:customStyle="1">
    <w:basedOn w:val="TableNormal0"/>
    <w:tblPr>
      <w:tblStyleRowBandSize w:val="1"/>
      <w:tblStyleColBandSize w:val="1"/>
      <w:tblCellMar>
        <w:top w:w="0.0" w:type="dxa"/>
        <w:left w:w="108.0" w:type="dxa"/>
        <w:bottom w:w="0.0" w:type="dxa"/>
        <w:right w:w="108.0" w:type="dxa"/>
      </w:tblCellMar>
    </w:tblPr>
  </w:style>
  <w:style w:type="table" w:styleId="afff3" w:customStyle="1">
    <w:basedOn w:val="TableNormal0"/>
    <w:tblPr>
      <w:tblStyleRowBandSize w:val="1"/>
      <w:tblStyleColBandSize w:val="1"/>
      <w:tblCellMar>
        <w:top w:w="0.0" w:type="dxa"/>
        <w:left w:w="108.0" w:type="dxa"/>
        <w:bottom w:w="0.0" w:type="dxa"/>
        <w:right w:w="108.0" w:type="dxa"/>
      </w:tblCellMar>
    </w:tblPr>
  </w:style>
  <w:style w:type="table" w:styleId="afff4" w:customStyle="1">
    <w:basedOn w:val="TableNormal0"/>
    <w:tblPr>
      <w:tblStyleRowBandSize w:val="1"/>
      <w:tblStyleColBandSize w:val="1"/>
      <w:tblCellMar>
        <w:top w:w="0.0" w:type="dxa"/>
        <w:left w:w="108.0" w:type="dxa"/>
        <w:bottom w:w="0.0" w:type="dxa"/>
        <w:right w:w="108.0" w:type="dxa"/>
      </w:tblCellMar>
    </w:tblPr>
  </w:style>
  <w:style w:type="table" w:styleId="afff5" w:customStyle="1">
    <w:basedOn w:val="TableNormal0"/>
    <w:tblPr>
      <w:tblStyleRowBandSize w:val="1"/>
      <w:tblStyleColBandSize w:val="1"/>
      <w:tblCellMar>
        <w:top w:w="0.0" w:type="dxa"/>
        <w:left w:w="100.0" w:type="dxa"/>
        <w:bottom w:w="0.0" w:type="dxa"/>
        <w:right w:w="100.0" w:type="dxa"/>
      </w:tblCellMar>
    </w:tblPr>
  </w:style>
  <w:style w:type="table" w:styleId="afff6" w:customStyle="1">
    <w:basedOn w:val="TableNormal0"/>
    <w:tblPr>
      <w:tblStyleRowBandSize w:val="1"/>
      <w:tblStyleColBandSize w:val="1"/>
      <w:tblCellMar>
        <w:top w:w="0.0" w:type="dxa"/>
        <w:left w:w="100.0" w:type="dxa"/>
        <w:bottom w:w="0.0" w:type="dxa"/>
        <w:right w:w="100.0" w:type="dxa"/>
      </w:tblCellMar>
    </w:tblPr>
  </w:style>
  <w:style w:type="table" w:styleId="afff7" w:customStyle="1">
    <w:basedOn w:val="TableNormal0"/>
    <w:tblPr>
      <w:tblStyleRowBandSize w:val="1"/>
      <w:tblStyleColBandSize w:val="1"/>
      <w:tblCellMar>
        <w:top w:w="0.0" w:type="dxa"/>
        <w:left w:w="100.0" w:type="dxa"/>
        <w:bottom w:w="0.0" w:type="dxa"/>
        <w:right w:w="100.0" w:type="dxa"/>
      </w:tblCellMar>
    </w:tblPr>
  </w:style>
  <w:style w:type="paragraph" w:styleId="afff8">
    <w:name w:val="Balloon Text"/>
    <w:basedOn w:val="a"/>
    <w:link w:val="1ff1"/>
    <w:uiPriority w:val="99"/>
    <w:semiHidden w:val="1"/>
    <w:unhideWhenUsed w:val="1"/>
    <w:rsid w:val="00DA1310"/>
    <w:rPr>
      <w:rFonts w:ascii="Tahoma" w:cs="Tahoma" w:hAnsi="Tahoma"/>
      <w:sz w:val="16"/>
      <w:szCs w:val="16"/>
    </w:rPr>
  </w:style>
  <w:style w:type="character" w:styleId="1ff1" w:customStyle="1">
    <w:name w:val="Текст выноски Знак1"/>
    <w:basedOn w:val="a0"/>
    <w:link w:val="afff8"/>
    <w:uiPriority w:val="99"/>
    <w:semiHidden w:val="1"/>
    <w:rsid w:val="00DA1310"/>
    <w:rPr>
      <w:rFonts w:ascii="Tahoma" w:cs="Tahoma" w:hAnsi="Tahoma"/>
      <w:sz w:val="16"/>
      <w:szCs w:val="16"/>
    </w:rPr>
  </w:style>
  <w:style w:type="character" w:styleId="is-markup" w:customStyle="1">
    <w:name w:val="is-markup"/>
    <w:basedOn w:val="a0"/>
    <w:rsid w:val="00573854"/>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0" w:type="dxa"/>
        <w:bottom w:w="0.0" w:type="dxa"/>
        <w:right w:w="100.0" w:type="dxa"/>
      </w:tblCellMar>
    </w:tblPr>
  </w:style>
  <w:style w:type="table" w:styleId="Table2">
    <w:basedOn w:val="TableNormal"/>
    <w:tblPr>
      <w:tblStyleRowBandSize w:val="1"/>
      <w:tblStyleColBandSize w:val="1"/>
      <w:tblCellMar>
        <w:top w:w="0.0" w:type="dxa"/>
        <w:left w:w="100.0" w:type="dxa"/>
        <w:bottom w:w="0.0" w:type="dxa"/>
        <w:right w:w="100.0" w:type="dxa"/>
      </w:tblCellMar>
    </w:tblPr>
  </w:style>
  <w:style w:type="table" w:styleId="Table3">
    <w:basedOn w:val="TableNormal"/>
    <w:tblPr>
      <w:tblStyleRowBandSize w:val="1"/>
      <w:tblStyleColBandSize w:val="1"/>
      <w:tblCellMar>
        <w:top w:w="0.0" w:type="dxa"/>
        <w:left w:w="100.0" w:type="dxa"/>
        <w:bottom w:w="0.0" w:type="dxa"/>
        <w:right w:w="100.0" w:type="dxa"/>
      </w:tblCellMar>
    </w:tblPr>
  </w:style>
  <w:style w:type="table" w:styleId="Table4">
    <w:basedOn w:val="TableNormal"/>
    <w:tblPr>
      <w:tblStyleRowBandSize w:val="1"/>
      <w:tblStyleColBandSize w:val="1"/>
      <w:tblCellMar>
        <w:top w:w="0.0" w:type="dxa"/>
        <w:left w:w="100.0" w:type="dxa"/>
        <w:bottom w:w="0.0" w:type="dxa"/>
        <w:right w:w="100.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0.0" w:type="dxa"/>
        <w:bottom w:w="0.0" w:type="dxa"/>
        <w:right w:w="100.0" w:type="dxa"/>
      </w:tblCellMar>
    </w:tblPr>
  </w:style>
  <w:style w:type="table" w:styleId="Table11">
    <w:basedOn w:val="TableNormal"/>
    <w:tblPr>
      <w:tblStyleRowBandSize w:val="1"/>
      <w:tblStyleColBandSize w:val="1"/>
      <w:tblCellMar>
        <w:top w:w="0.0" w:type="dxa"/>
        <w:left w:w="100.0" w:type="dxa"/>
        <w:bottom w:w="0.0" w:type="dxa"/>
        <w:right w:w="100.0" w:type="dxa"/>
      </w:tblCellMar>
    </w:tblPr>
  </w:style>
  <w:style w:type="table" w:styleId="Table12">
    <w:basedOn w:val="TableNormal"/>
    <w:tblPr>
      <w:tblStyleRowBandSize w:val="1"/>
      <w:tblStyleColBandSize w:val="1"/>
      <w:tblCellMar>
        <w:top w:w="0.0" w:type="dxa"/>
        <w:left w:w="100.0" w:type="dxa"/>
        <w:bottom w:w="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zp.edu.ua/uploads/dept_inter/pol_p" TargetMode="External"/><Relationship Id="rId22" Type="http://schemas.openxmlformats.org/officeDocument/2006/relationships/header" Target="header2.xml"/><Relationship Id="rId21" Type="http://schemas.openxmlformats.org/officeDocument/2006/relationships/hyperlink" Target="https://zp.edu.ua/uploads/dept_inter/pol" TargetMode="External"/><Relationship Id="rId24" Type="http://schemas.openxmlformats.org/officeDocument/2006/relationships/footer" Target="footer3.xm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on.gov.ua/static-objects/mon/sites/1/vyshcha/standarty/2021/03/19/124%20Systemnyy%20analiz_mahistr_18_03_21_331.doc" TargetMode="External"/><Relationship Id="rId26" Type="http://schemas.openxmlformats.org/officeDocument/2006/relationships/hyperlink" Target="https://mon.gov.ua/static-objects/mon/uploads/public/661/690/8b8/6616908b8c0c9738878471.pdf" TargetMode="External"/><Relationship Id="rId25" Type="http://schemas.openxmlformats.org/officeDocument/2006/relationships/image" Target="media/image1.png"/><Relationship Id="rId28" Type="http://schemas.openxmlformats.org/officeDocument/2006/relationships/hyperlink" Target="https://zakon.rada.gov.ua/laws/show/1556-18#Text" TargetMode="External"/><Relationship Id="rId27" Type="http://schemas.openxmlformats.org/officeDocument/2006/relationships/hyperlink" Target="https://zp.edu.ua/uploads/pubdocs/2022/Nakaz_N210_vid_28.06.22.pdf"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zakon.rada.gov.ua/laws/show/1341-2011-%D0%BF#Text" TargetMode="External"/><Relationship Id="rId7" Type="http://schemas.openxmlformats.org/officeDocument/2006/relationships/image" Target="media/image2.png"/><Relationship Id="rId8" Type="http://schemas.openxmlformats.org/officeDocument/2006/relationships/hyperlink" Target="https://zakon.rada.gov.ua/laws/show/1341-2011-%D0%BF#Text" TargetMode="External"/><Relationship Id="rId11" Type="http://schemas.openxmlformats.org/officeDocument/2006/relationships/header" Target="header1.xml"/><Relationship Id="rId10" Type="http://schemas.openxmlformats.org/officeDocument/2006/relationships/hyperlink" Target="https://mon.gov.ua/static-objects/mon/sites/1/vyshcha/standarty/2021/03/19/124%20Systemnyy%20analiz_mahistr_18_03_21_331.doc" TargetMode="External"/><Relationship Id="rId13" Type="http://schemas.openxmlformats.org/officeDocument/2006/relationships/hyperlink" Target="https://catalogop.zp.edu.ua/E" TargetMode="External"/><Relationship Id="rId12" Type="http://schemas.openxmlformats.org/officeDocument/2006/relationships/footer" Target="footer1.xml"/><Relationship Id="rId15" Type="http://schemas.openxmlformats.org/officeDocument/2006/relationships/hyperlink" Target="https://zakon.rada.gov.ua/laws/show/1187-2015-%D0%BF#n1217" TargetMode="External"/><Relationship Id="rId14" Type="http://schemas.openxmlformats.org/officeDocument/2006/relationships/hyperlink" Target="https://catalogop.zp.edu.ua/E" TargetMode="External"/><Relationship Id="rId17" Type="http://schemas.openxmlformats.org/officeDocument/2006/relationships/hyperlink" Target="https://zp.edu.ua/uploads/pubdocs/202" TargetMode="External"/><Relationship Id="rId16" Type="http://schemas.openxmlformats.org/officeDocument/2006/relationships/hyperlink" Target="https://zp.edu.ua/uploads/pubdocs/2022/" TargetMode="External"/><Relationship Id="rId19" Type="http://schemas.openxmlformats.org/officeDocument/2006/relationships/hyperlink" Target="https://zp.edu.ua/stypendiyi-" TargetMode="External"/><Relationship Id="rId18" Type="http://schemas.openxmlformats.org/officeDocument/2006/relationships/hyperlink" Target="https://zp.edu.ua/akademichn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4ov0WZfp3Sl0vUNTiO0xmLcJ9g==">CgMxLjAaJQoBMBIgCh4IB0IaCg9UaW1lcyBOZXcgUm9tYW4SB0d1bmdzdWgaJQoBMRIgCh4IB0IaCg9UaW1lcyBOZXcgUm9tYW4SB0d1bmdzdWgaJQoBMhIgCh4IB0IaCg9UaW1lcyBOZXcgUm9tYW4SB0d1bmdzdWgaJQoBMxIgCh4IB0IaCg9UaW1lcyBOZXcgUm9tYW4SB0d1bmdzdWgyDmguM29vbGNsdzdzMnphMgppZC4zMGowemxsMghoLmdqZGd4czIJaC4xZm9iOXRlMg5oLmw5OWVrMnVtbGJ2cjIOaC55YWNkMDl2MnV6cnA4AHIhMU5KWm1PVE9ZYVhCTzRjRlphRUVyMGN0cUIxblFycVo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2025-10-08T12:53:00Z</dcterms:created>
  <dc:creator>Admin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9920fc13-ea7b-44be-a769-d86fa2deeeee</vt:lpwstr>
  </property>
</Properties>
</file>