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70" w:rsidRDefault="002D53F6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39433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79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70" w:rsidRDefault="002D53F6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 факультет</w:t>
      </w:r>
    </w:p>
    <w:p w:rsidR="001C1470" w:rsidRDefault="002D53F6">
      <w:pPr>
        <w:spacing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дисципліни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»</w:t>
      </w:r>
    </w:p>
    <w:p w:rsidR="001C1470" w:rsidRDefault="00B62756">
      <w:pPr>
        <w:rPr>
          <w:lang w:val="uk-UA"/>
        </w:rPr>
      </w:pPr>
      <w:r w:rsidRPr="00B62756">
        <w:pict>
          <v:rect id="shape_0" o:spid="_x0000_s1035" style="position:absolute;margin-left:0;margin-top:0;width:467.7pt;height:1.45pt;z-index:251653632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 w:rsidP="00267404">
      <w:pPr>
        <w:pStyle w:val="Heading3"/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1C1470" w:rsidRDefault="002D53F6" w:rsidP="002674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 (</w:t>
      </w:r>
      <w:r w:rsidR="00267404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267404" w:rsidRDefault="00267404" w:rsidP="002674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ПУБЛІЧНА ПОЛІТИКА</w:t>
      </w:r>
    </w:p>
    <w:p w:rsidR="001C1470" w:rsidRDefault="002D53F6" w:rsidP="002674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освітнього компоненту – </w:t>
      </w:r>
      <w:r w:rsidR="00C120B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кредити (</w:t>
      </w:r>
      <w:r w:rsidR="00C120B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годин) </w:t>
      </w:r>
    </w:p>
    <w:p w:rsidR="00267404" w:rsidRDefault="00267404" w:rsidP="00267404">
      <w:pPr>
        <w:spacing w:line="240" w:lineRule="auto"/>
        <w:jc w:val="center"/>
        <w:rPr>
          <w:lang w:val="uk-UA"/>
        </w:rPr>
      </w:pPr>
    </w:p>
    <w:p w:rsidR="001C1470" w:rsidRDefault="00B62756" w:rsidP="0026740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34" style="position:absolute;margin-left:0;margin-top:0;width:467.7pt;height:1.45pt;z-index:251654656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 w:rsidP="00267404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Освітня програма – Політологія</w:t>
      </w:r>
    </w:p>
    <w:p w:rsidR="001C1470" w:rsidRDefault="002D53F6" w:rsidP="00267404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</w:t>
      </w:r>
      <w:r w:rsidR="00C120B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третій (</w:t>
      </w:r>
      <w:proofErr w:type="spellStart"/>
      <w:r w:rsidR="00C120B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освітньо-науковий</w:t>
      </w:r>
      <w:proofErr w:type="spellEnd"/>
      <w:r w:rsidR="00C120B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)</w:t>
      </w:r>
    </w:p>
    <w:p w:rsidR="001C1470" w:rsidRDefault="002D53F6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267404" w:rsidRDefault="00267404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</w:p>
    <w:p w:rsidR="001C1470" w:rsidRDefault="00B627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33" style="position:absolute;margin-left:0;margin-top:0;width:467.7pt;height:1.45pt;z-index:251655680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>
      <w:pP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267404" w:rsidRDefault="00267404">
      <w:pP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4291"/>
      </w:tblGrid>
      <w:tr w:rsidR="00267404" w:rsidRPr="003845F3" w:rsidTr="00267404">
        <w:trPr>
          <w:trHeight w:val="2822"/>
        </w:trPr>
        <w:tc>
          <w:tcPr>
            <w:tcW w:w="1356" w:type="dxa"/>
          </w:tcPr>
          <w:p w:rsidR="00267404" w:rsidRDefault="00267404" w:rsidP="00CC3081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0" distR="0" simplePos="0" relativeHeight="251664896" behindDoc="0" locked="0" layoutInCell="0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365760</wp:posOffset>
                  </wp:positionV>
                  <wp:extent cx="2114550" cy="2562225"/>
                  <wp:effectExtent l="19050" t="0" r="0" b="0"/>
                  <wp:wrapSquare wrapText="largest"/>
                  <wp:docPr id="11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1" w:type="dxa"/>
          </w:tcPr>
          <w:p w:rsidR="00267404" w:rsidRDefault="00267404" w:rsidP="00C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ОРЛЯНСЬКИЙ ВОЛОДИМИР СЕМЕНОВИЧ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професор кафедри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», доктор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історичних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професор.</w:t>
            </w: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 номер телефону: 097-421-13-41;</w:t>
            </w: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mail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orlyаnkiyv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gmail.com</w:t>
            </w:r>
            <w:proofErr w:type="spellEnd"/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67404" w:rsidRDefault="00267404" w:rsidP="00267404">
            <w:pPr>
              <w:tabs>
                <w:tab w:val="left" w:pos="220"/>
                <w:tab w:val="left" w:pos="7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 консультацій:</w:t>
            </w:r>
          </w:p>
          <w:p w:rsidR="00267404" w:rsidRPr="00642295" w:rsidRDefault="00267404" w:rsidP="00267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Середа, з 12.00 по 14.00, навчальний корпус №5, кабінет 538.</w:t>
            </w:r>
          </w:p>
        </w:tc>
      </w:tr>
    </w:tbl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32" style="position:absolute;left:0;text-align:left;margin-left:0;margin-top:0;width:0;height:1.45pt;z-index:251656704;mso-wrap-style:none;mso-position-horizontal:center;mso-position-horizontal-relative:text;mso-position-vertical:top;mso-position-vertical-relative:text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>
      <w:pPr>
        <w:pStyle w:val="Heading3"/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1C1470" w:rsidRDefault="001C1470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1C1470" w:rsidRDefault="002D53F6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Викладання даної навчальної дисципліни дає можливість здобувачам вищої освіти опанувати знання та вміння робити аналіз державної та публічної політики, а також формувати у них навички управлінського мислення як визначального чинника підготовки їх до участі в процесі політичного менеджменту. Курс може бути корисним студентам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спеціальності «Політологія», особливо для тих, хто планує працювати у суспільно-політичних організаціях та установах державного управління, місцевого самоврядування.</w:t>
      </w:r>
    </w:p>
    <w:p w:rsidR="001C1470" w:rsidRDefault="001C1470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МЕТА, КОМПЕТЕНТНОСТІ ТА РЕЗУЛЬТАТИ НАВЧАННЯ</w:t>
      </w:r>
    </w:p>
    <w:p w:rsidR="001C1470" w:rsidRDefault="001C1470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lhah7jzs1h2"/>
      <w:bookmarkEnd w:id="0"/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Метою вивчення курсу «Публічна  політика» є  формування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знань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про: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специфіку функціонування публічної політики;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ключові категорії, що використовуються в дослідженнях у сфері аналізу політичних процесів;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методологічні основи аналізу та прогнозування політики держави.</w:t>
      </w:r>
    </w:p>
    <w:p w:rsidR="001C1470" w:rsidRDefault="001C1470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уміння: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 аналізу і прогнозування політики;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використовувати можливості публічної політики для аналізу політичної ситуації в суспільстві, регіоні як вихідної позиції для ухвалення рішення по управлінню політичними подіями;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виділяти актуальні політичні події і ефективні засоби впливу на їх розвиток; - застосовувати методи публічної політики при впливі на політичні процеси і події;</w:t>
      </w:r>
    </w:p>
    <w:p w:rsidR="001C1470" w:rsidRDefault="002D53F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визначати специфіку управління у сфері політики, проводити аналіз його можливих наслідків.</w:t>
      </w:r>
    </w:p>
    <w:p w:rsidR="001C1470" w:rsidRDefault="001C1470">
      <w:pPr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1C1470" w:rsidRDefault="002D53F6">
      <w:pPr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1C1470" w:rsidRDefault="001C1470">
      <w:pPr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1C1470" w:rsidRDefault="002D53F6">
      <w:pPr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ab/>
        <w:t>У результаті вивчення навчальної дисципліни «Публічна політика» будуть сформовані:</w:t>
      </w:r>
    </w:p>
    <w:p w:rsidR="001C1470" w:rsidRDefault="001C1470">
      <w:pPr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  <w:t>Загальні компетентності: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</w:t>
      </w: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K</w:t>
      </w: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01. Здатність до абстрактного мислення, аналізу та синтезу. 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</w:t>
      </w: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K</w:t>
      </w: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02. Здатність до пошуку, оброблення та аналізу інформації з різних джерел.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 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C120B8">
        <w:rPr>
          <w:rFonts w:ascii="Times New Roman" w:eastAsia="Calibri" w:hAnsi="Times New Roman" w:cs="Times New Roman"/>
          <w:bCs/>
          <w:iCs/>
          <w:sz w:val="28"/>
          <w:szCs w:val="28"/>
          <w:lang w:val="ru-RU" w:eastAsia="en-US"/>
        </w:rPr>
        <w:t xml:space="preserve">    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Спеціальні (фахові, предметні) компетентності: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 xml:space="preserve"> 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</w:t>
      </w:r>
    </w:p>
    <w:p w:rsidR="00C120B8" w:rsidRPr="003845F3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С</w:t>
      </w:r>
      <w:r w:rsidRPr="00EF4B4D">
        <w:rPr>
          <w:rFonts w:ascii="Times New Roman" w:eastAsiaTheme="minorHAnsi" w:hAnsi="Times New Roman" w:cs="Times New Roman"/>
          <w:sz w:val="28"/>
          <w:szCs w:val="28"/>
          <w:lang w:eastAsia="en-US"/>
        </w:rPr>
        <w:t>K</w:t>
      </w:r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04.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Здатність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здійснювати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науково-педагогічну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діяльність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у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вищій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освіті</w:t>
      </w:r>
      <w:proofErr w:type="spellEnd"/>
      <w:r w:rsidRPr="003845F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. 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lastRenderedPageBreak/>
        <w:t xml:space="preserve">СК07.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Здатність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аналізувати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оцінювати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сучасний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стан,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тенденції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розвитку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політичних</w:t>
      </w:r>
      <w:proofErr w:type="spellEnd"/>
      <w:r w:rsidRPr="00C120B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наук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</w:pPr>
      <w:proofErr w:type="spellStart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>Очікуванні</w:t>
      </w:r>
      <w:proofErr w:type="spellEnd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>програмні</w:t>
      </w:r>
      <w:proofErr w:type="spellEnd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>результати</w:t>
      </w:r>
      <w:proofErr w:type="spellEnd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>навчання</w:t>
      </w:r>
      <w:proofErr w:type="spellEnd"/>
      <w:r w:rsidRPr="00C120B8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  <w:t>: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en-US"/>
        </w:rPr>
      </w:pP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РН01.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передові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концептуальні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методологічні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знання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політичних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наук та на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межі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предметних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галузей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також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дослідницькі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навички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достатні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для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проведення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наукових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прикладних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досліджень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на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рівні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останніх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світових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досягнень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відповідного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напряму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отримання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нових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знань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у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сфері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політичних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наук та/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або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здійснення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інновацій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.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РН03.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Розробляти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реалізовувати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наукові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та/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або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прикладні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проєкти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які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дають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можливість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переосмислити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наявне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створити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нове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цілісне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знання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та/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або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професійну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практику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розв’язувати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значущі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наукові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технологічні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проблеми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політичних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наук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врахуванням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етичних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соціальних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економічних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правових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аспектів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.</w:t>
      </w:r>
    </w:p>
    <w:p w:rsidR="00C120B8" w:rsidRPr="00C120B8" w:rsidRDefault="00C120B8" w:rsidP="00C120B8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РН08.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Організовувати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здійснювати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освітній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процес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у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галузі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політичних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наук,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формувати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його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наукове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навчально-методичне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та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нормативне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забезпечення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,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розробляти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викладати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спеціальні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навчальні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дисципліни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у закладах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вищої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proofErr w:type="spellStart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освіти</w:t>
      </w:r>
      <w:proofErr w:type="spellEnd"/>
      <w:r w:rsidRPr="00C120B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.</w:t>
      </w:r>
    </w:p>
    <w:p w:rsidR="001C1470" w:rsidRPr="00C120B8" w:rsidRDefault="001C1470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 w:eastAsia="en-US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ПЕРЕДУМОВИ ДЛЯ ВИВЧЕННЯ ДИСЦИПЛІНИ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1470" w:rsidRDefault="002D53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навчання та опанування необхідними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вміннями і навичками нормативної навчальної дисципліни здобувачі вищої освіти повинні спиратися на результати навчання, які отримано ними при вивченні інших гуманітарних дисциплін.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які набуде і розвине в процесі навчання та результати навчання здобуті при вивченні цієї дисципліни, майбутній фахівець може використати у професійній діяльності під час опрацювання та аналізу інформації з різних джерел щодо суспільно-політичних подій як в Україні, так і в світі, а також застосувати у практичних ситуаціях положення норм Конституції та законів України насамперед антикорупційних, дотримуватися принципу верховенства права, прав і свобод людини і громадянина в Україні.</w:t>
      </w:r>
      <w:r w:rsidR="00B62756" w:rsidRPr="00B62756">
        <w:pict>
          <v:rect id="_x0000_s1031" style="position:absolute;left:0;text-align:left;margin-left:0;margin-top:0;width:467.7pt;height:1.45pt;z-index:251657728;mso-wrap-style:none;mso-position-horizontal:center;mso-position-horizontal-relative:text;mso-position-vertical:top;mso-position-vertical-relative:text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1C14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«Публічна політика» складається з вивчення теоретичного матеріалу та виконання практичних робіт. 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6"/>
        <w:tblW w:w="9587" w:type="dxa"/>
        <w:tblLayout w:type="fixed"/>
        <w:tblLook w:val="04A0"/>
      </w:tblPr>
      <w:tblGrid>
        <w:gridCol w:w="1242"/>
        <w:gridCol w:w="4395"/>
        <w:gridCol w:w="3950"/>
      </w:tblGrid>
      <w:tr w:rsidR="001C1470">
        <w:trPr>
          <w:trHeight w:val="626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робіт, год.</w:t>
            </w:r>
          </w:p>
        </w:tc>
      </w:tr>
      <w:tr w:rsidR="001C1470">
        <w:trPr>
          <w:trHeight w:val="302"/>
        </w:trPr>
        <w:tc>
          <w:tcPr>
            <w:tcW w:w="1242" w:type="dxa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395" w:type="dxa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C1470">
        <w:trPr>
          <w:trHeight w:val="302"/>
        </w:trPr>
        <w:tc>
          <w:tcPr>
            <w:tcW w:w="9587" w:type="dxa"/>
            <w:gridSpan w:val="3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1.</w:t>
            </w:r>
          </w:p>
        </w:tc>
      </w:tr>
      <w:tr w:rsidR="001C1470" w:rsidRPr="003845F3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Публічна політика як соціальне явище.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Структура владних відносин і механізмів політичної влади. Структурні елементи публічної політики. Цикл та фази публічної політики.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_Hlk174198909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Інститути та процеси публічної політики.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Структура інститутів публічної політики. Процеси публічної політики.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 Прийняття публічного політичного рішення в управлінській діяльності.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 Поняття та сутність політичного рішення. Види політичних рішень. Основні фази циклу прийняття політичних рішень.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Роль громадянського суспільства у формуванні української публічної політики. Групи інтересів у процесах вироблення державної політики.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Політичний процес та функції в ньому груп інтересів.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опозиція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публічній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Поняття, функції, форми політичної опозиції. (2 год.).</w:t>
            </w:r>
          </w:p>
        </w:tc>
      </w:tr>
      <w:tr w:rsidR="003845F3" w:rsidTr="00011E45">
        <w:trPr>
          <w:trHeight w:val="302"/>
        </w:trPr>
        <w:tc>
          <w:tcPr>
            <w:tcW w:w="9587" w:type="dxa"/>
            <w:gridSpan w:val="3"/>
            <w:vAlign w:val="center"/>
          </w:tcPr>
          <w:p w:rsidR="003845F3" w:rsidRDefault="003845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</w:t>
            </w:r>
          </w:p>
          <w:p w:rsidR="003845F3" w:rsidRPr="003845F3" w:rsidRDefault="003845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Конфлікти й кризи в публічній політиці та управлінні.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Структура та процес управління конфліктом. Організаційні та управлінські конфлікти. Конфлікти у прийнятті рішень та переговорні процеси.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Публічна політика в Україні: інституції та процеси. (2 год.).</w:t>
            </w:r>
          </w:p>
        </w:tc>
        <w:tc>
          <w:tcPr>
            <w:tcW w:w="3950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Інститут політичної влади в Україні. (2 год.).</w:t>
            </w:r>
          </w:p>
        </w:tc>
      </w:tr>
      <w:tr w:rsidR="001C1470">
        <w:trPr>
          <w:trHeight w:val="302"/>
        </w:trPr>
        <w:tc>
          <w:tcPr>
            <w:tcW w:w="1242" w:type="dxa"/>
            <w:vAlign w:val="center"/>
          </w:tcPr>
          <w:p w:rsidR="001C1470" w:rsidRPr="003845F3" w:rsidRDefault="003845F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8. Ресурси державної політики. Середовище державної політики та її</w:t>
            </w:r>
          </w:p>
          <w:p w:rsidR="001C1470" w:rsidRDefault="002D53F6" w:rsidP="003845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учасники. (</w:t>
            </w:r>
            <w:r w:rsidR="003845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год.).</w:t>
            </w:r>
          </w:p>
        </w:tc>
        <w:tc>
          <w:tcPr>
            <w:tcW w:w="3950" w:type="dxa"/>
            <w:vAlign w:val="center"/>
          </w:tcPr>
          <w:p w:rsidR="001C1470" w:rsidRDefault="002D53F6" w:rsidP="003845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8. Ресурси: правовий, фінансовий, майновий, людський, інформаційний, організаційний, примусу, більшості, довіри й часу. (</w:t>
            </w:r>
            <w:r w:rsidR="003845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год.).</w:t>
            </w:r>
          </w:p>
        </w:tc>
      </w:tr>
      <w:bookmarkEnd w:id="1"/>
      <w:tr w:rsidR="001C1470">
        <w:trPr>
          <w:trHeight w:val="621"/>
        </w:trPr>
        <w:tc>
          <w:tcPr>
            <w:tcW w:w="1242" w:type="dxa"/>
            <w:vAlign w:val="center"/>
          </w:tcPr>
          <w:p w:rsidR="001C1470" w:rsidRDefault="002D5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395" w:type="dxa"/>
            <w:vAlign w:val="center"/>
          </w:tcPr>
          <w:p w:rsidR="001C1470" w:rsidRDefault="002D53F6" w:rsidP="003845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</w:t>
            </w:r>
            <w:r w:rsidR="003845F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950" w:type="dxa"/>
            <w:vAlign w:val="center"/>
          </w:tcPr>
          <w:p w:rsidR="001C1470" w:rsidRDefault="002D53F6" w:rsidP="003845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3845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</w:tbl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756">
        <w:pict>
          <v:rect id="_x0000_s1030" style="position:absolute;left:0;text-align:left;margin-left:0;margin-top:0;width:467.7pt;height:1.45pt;z-index:251658752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585" w:type="dxa"/>
        <w:tblInd w:w="10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69"/>
        <w:gridCol w:w="7924"/>
        <w:gridCol w:w="1192"/>
      </w:tblGrid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№</w:t>
            </w:r>
          </w:p>
          <w:p w:rsidR="001C1470" w:rsidRDefault="002D53F6">
            <w:pPr>
              <w:widowControl w:val="0"/>
              <w:spacing w:after="20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</w:t>
            </w:r>
            <w:proofErr w:type="spellEnd"/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теми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Кількість</w:t>
            </w:r>
            <w:proofErr w:type="spellEnd"/>
          </w:p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годин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1.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Теоретико-методологічні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аспекти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феномену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lastRenderedPageBreak/>
              <w:t>публічної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lastRenderedPageBreak/>
              <w:t>2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Неформальні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інститути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стійкі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традиції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правила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якість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регулятори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Традиційні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демократичні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інститути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представництва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делегування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співучасть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процесах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публічної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).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раціонального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вибору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обмеженої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раціональності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».</w:t>
            </w:r>
          </w:p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Інкременталістський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метод» 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Ліндблома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 Модель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змішаного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сканування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»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Етционі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Моделі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організованого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» 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бюрократичної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Алісона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Механізми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функціонального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представництва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публічної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західних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країнах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Гострі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соціально-трудових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Кризи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публічному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управлінні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7.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інституційного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демократії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громадянського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8.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Первинні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суб'єкти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індивіди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соціально-історичні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спільноти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Вторинні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суб'єкти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інституції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- держава,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партії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громадсько-політичні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об'єднання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. Держава 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суб'єкт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9.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Еx-ante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(лат.,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тобто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попередній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) , 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ex-post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заключний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підсумковий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).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10.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Різновиди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провідних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ролей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висуванні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розробленні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 Модель "вертикальна", Модель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", Модель "вертикального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".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11.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впливи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наслідки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12.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Державне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соціальними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процесами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Тема 13.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Міжмуніципальне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співробітництво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як 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спільних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rPr>
          <w:trHeight w:val="6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Тема 14.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фінансових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можливостей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місцевої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Pr="003845F3" w:rsidRDefault="002D5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845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Тема 15.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глобалізації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1C14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1C14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1C1470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1C1470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29" style="position:absolute;left:0;text-align:left;margin-left:0;margin-top:0;width:0;height:1.45pt;z-index:251659776;mso-wrap-style:none;mso-position-horizontal:center;mso-position-horizontal-relative:text;mso-position-vertical:top;mso-position-vertical-relative:text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 НАВЧАЛЬНО-МЕТОДИЧНІ ДЖЕРЕЛА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дисципліни «Публічна політика»;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Публічна політика»;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«Публічна політика ».</w:t>
      </w:r>
    </w:p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28" style="position:absolute;left:0;text-align:left;margin-left:0;margin-top:0;width:467.7pt;height:1.45pt;z-index:251660800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1470" w:rsidRDefault="002D53F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Державна політика : підручник / Нац. акад.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при Президентові України ;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: Ю. В. Ковбасюк (голова), К. О. Ващенко (заст. голови), Ю. П.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Сурмін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(заст. голови) [та ін.]. – К.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2014. – 448 с.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Еволюція і розвиток громадянського суспільства в Україні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євроінтеграційні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процеси [Текст] : наук. розробка / [авт.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.: Н. Ф.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Бенюх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 ;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заг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С. О.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Телешуна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] ; Нац. акад.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при Президентові України,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орг. фундамент. та приклад.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дослідж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Ін-т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пробл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місц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самоврядування, Центр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європ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інтегр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України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адапт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зарубіж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досвіду. - К. : [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], 2010.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Липовська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А. Публічна політика [Текст]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/ Н. А.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Липовська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І. В. Письменний ; Нац. акад.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при Президентові України,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Дніпропетр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регіон. ін-т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- Дніпро : ДРІДУ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2018. - 104 с.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Парсонс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Публічна політика [Текст] : вступ до теорії й практики аналізу політики / 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Парсонс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; пер. з англ. О. Дем'янчук. - К. : Вид. дім "Києво-Могилянська академія", 2006.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Публічна політика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/ авт.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: С. О.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Телешун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В. Ситник, І. 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Рейтерович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 ;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заг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С. О.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Телешуна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д-ра політ. наук, проф. – Київ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2016. – 340 с.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Публічна політика в процесах реформування системи державного управління України [Текст] / [С. О.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Телешун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ін.] ; Нац. акад.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при Президентові України. - Київ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2016. - 191 с.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Публічна політика для громадських організацій [Текст] : практичні рекомендації щодо організації робіт у сфері публічної політики /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В. Нікітін ; Міжнародний центр перспективних досліджень. - К. : Оптима, 2007. - 90 с.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Публічна політика: навчальний посібник. – Полтава: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ПолтНТУ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2018. – 225с.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1470" w:rsidRDefault="002D53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процесі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вивчення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матеріалу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Публічна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політика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наступні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засоби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оцінювання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:</w:t>
      </w:r>
    </w:p>
    <w:p w:rsidR="001C1470" w:rsidRDefault="002D53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>Поточний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 xml:space="preserve"> контроль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проведення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практичних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перевірки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рівня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знань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етапі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первинного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засвоєння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матеріалу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який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охоплюється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темою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lastRenderedPageBreak/>
        <w:t>лекційного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та практичного занять,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умінь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самостійно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опрацьовувати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навчально-методичну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літературу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здатність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осмислити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зміст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вивчаємої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теми,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умінь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публічно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чи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письмово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подати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певний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матеріал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також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завдань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роботи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.</w:t>
      </w:r>
    </w:p>
    <w:p w:rsidR="001C1470" w:rsidRDefault="002D53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>Проміжний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>модульний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>) контроль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формі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модульної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роботи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охоплює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навчальний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матеріал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викладених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тем,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результатами поточного контролю, 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також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науково-дослідної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роботи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підготовки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рефератів</w:t>
      </w:r>
      <w:proofErr w:type="spellEnd"/>
    </w:p>
    <w:p w:rsidR="001C1470" w:rsidRDefault="002D53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Проміжний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модульний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) контроль проводиться 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останній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парі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змістового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модуля,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протягом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двох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академічних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годин. До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проміжного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(модульного) контролю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допускаються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всі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Якщо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з’явився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проведення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проміжного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(модульного) контролю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здав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модульної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роботи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йому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виставляється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оцінка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«не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зараховано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».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 </w:t>
      </w:r>
    </w:p>
    <w:p w:rsidR="001C1470" w:rsidRDefault="002D53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>Підсумковий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en-US"/>
        </w:rPr>
        <w:t xml:space="preserve"> контроль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формі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складання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заліку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оцінювання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рівня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знань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100-бальною шкалою.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допускається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складання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заліку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умов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виконання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всіх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самостійних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завдань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програмою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навчальної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.</w:t>
      </w:r>
    </w:p>
    <w:p w:rsidR="001C1470" w:rsidRDefault="001C14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1C1470" w:rsidRDefault="002D53F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Критерії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навчання</w:t>
      </w:r>
      <w:proofErr w:type="spellEnd"/>
    </w:p>
    <w:p w:rsidR="001C1470" w:rsidRDefault="001C14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Оцінювання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навчання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здобувачів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вищої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кожним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проміжним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модульним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) контролем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контрольних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тижнів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підсумками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змістових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кожен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яких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оцінюється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100-бальною шкалою.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час контролю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враховуючи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наступні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види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робіт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: 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виконання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практичних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завдань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– до 30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балів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; 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поточний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контроль – до 40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балів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; 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ab/>
        <w:t xml:space="preserve">неформальна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інформальна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освіта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відвідування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тренінгів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семінарів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отримання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сертифікатів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, участь у кейс–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чемпіонатів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академічна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мобільність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) – до 15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балів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;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наукова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діяльність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(участь 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науковій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темі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кафедри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науково-практичних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конференціях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університетському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Тижні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науки», 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написанні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наукових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статей) – до 15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балів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.</w:t>
      </w:r>
    </w:p>
    <w:p w:rsidR="001C1470" w:rsidRDefault="002D53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Підсумкова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оцінка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середня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двох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проміжних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контролів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за перший та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другий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змістовні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модулі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en-US"/>
        </w:rPr>
        <w:t>.</w:t>
      </w:r>
    </w:p>
    <w:p w:rsidR="001C1470" w:rsidRDefault="001C1470">
      <w:pPr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</w:pPr>
    </w:p>
    <w:p w:rsidR="001C1470" w:rsidRDefault="002D53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Шкала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оцінювання</w:t>
      </w:r>
      <w:proofErr w:type="spellEnd"/>
    </w:p>
    <w:p w:rsidR="001C1470" w:rsidRDefault="001C14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571" w:type="dxa"/>
        <w:tblInd w:w="93" w:type="dxa"/>
        <w:tblLayout w:type="fixed"/>
        <w:tblLook w:val="04A0"/>
      </w:tblPr>
      <w:tblGrid>
        <w:gridCol w:w="3609"/>
        <w:gridCol w:w="4172"/>
        <w:gridCol w:w="1790"/>
      </w:tblGrid>
      <w:tr w:rsidR="001C1470">
        <w:trPr>
          <w:trHeight w:val="450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національною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шкалою</w:t>
            </w:r>
            <w:proofErr w:type="spellEnd"/>
          </w:p>
        </w:tc>
      </w:tr>
      <w:tr w:rsidR="001C1470">
        <w:trPr>
          <w:trHeight w:val="450"/>
        </w:trPr>
        <w:tc>
          <w:tcPr>
            <w:tcW w:w="3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470" w:rsidRDefault="001C14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екзамену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курсового проекту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), практики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заліку</w:t>
            </w:r>
            <w:proofErr w:type="spellEnd"/>
          </w:p>
        </w:tc>
      </w:tr>
      <w:tr w:rsidR="001C1470">
        <w:trPr>
          <w:trHeight w:val="153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60 – 100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1C147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  <w:proofErr w:type="spellEnd"/>
          </w:p>
        </w:tc>
      </w:tr>
      <w:tr w:rsidR="001C1470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-59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незадовільно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70" w:rsidRDefault="002D5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  <w:proofErr w:type="spellEnd"/>
          </w:p>
        </w:tc>
      </w:tr>
    </w:tbl>
    <w:p w:rsidR="001C1470" w:rsidRDefault="001C1470">
      <w:pPr>
        <w:pStyle w:val="af5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</w:p>
    <w:p w:rsidR="001C1470" w:rsidRDefault="002D53F6">
      <w:pPr>
        <w:pStyle w:val="af5"/>
        <w:spacing w:beforeAutospacing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(залік)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6"/>
        <w:tblW w:w="9571" w:type="dxa"/>
        <w:tblLayout w:type="fixed"/>
        <w:tblLook w:val="04A0"/>
      </w:tblPr>
      <w:tblGrid>
        <w:gridCol w:w="440"/>
        <w:gridCol w:w="439"/>
        <w:gridCol w:w="439"/>
        <w:gridCol w:w="440"/>
        <w:gridCol w:w="438"/>
        <w:gridCol w:w="439"/>
        <w:gridCol w:w="440"/>
        <w:gridCol w:w="438"/>
        <w:gridCol w:w="439"/>
        <w:gridCol w:w="539"/>
        <w:gridCol w:w="539"/>
        <w:gridCol w:w="540"/>
        <w:gridCol w:w="539"/>
        <w:gridCol w:w="539"/>
        <w:gridCol w:w="1788"/>
        <w:gridCol w:w="1135"/>
      </w:tblGrid>
      <w:tr w:rsidR="001C1470">
        <w:tc>
          <w:tcPr>
            <w:tcW w:w="6646" w:type="dxa"/>
            <w:gridSpan w:val="14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Поточне тестування та самостійна робота</w:t>
            </w:r>
          </w:p>
        </w:tc>
        <w:tc>
          <w:tcPr>
            <w:tcW w:w="1787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тест</w:t>
            </w:r>
          </w:p>
        </w:tc>
        <w:tc>
          <w:tcPr>
            <w:tcW w:w="1135" w:type="dxa"/>
            <w:vMerge w:val="restart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1C1470">
        <w:tc>
          <w:tcPr>
            <w:tcW w:w="3073" w:type="dxa"/>
            <w:gridSpan w:val="7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Змістовний модуль 1</w:t>
            </w:r>
          </w:p>
        </w:tc>
        <w:tc>
          <w:tcPr>
            <w:tcW w:w="3573" w:type="dxa"/>
            <w:gridSpan w:val="7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Змістовний модуль 2</w:t>
            </w:r>
          </w:p>
        </w:tc>
        <w:tc>
          <w:tcPr>
            <w:tcW w:w="1787" w:type="dxa"/>
          </w:tcPr>
          <w:p w:rsidR="001C1470" w:rsidRDefault="001C14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Merge/>
          </w:tcPr>
          <w:p w:rsidR="001C1470" w:rsidRDefault="001C14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470"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Т2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Т3</w:t>
            </w:r>
          </w:p>
        </w:tc>
        <w:tc>
          <w:tcPr>
            <w:tcW w:w="4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Т4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Т5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Т6</w:t>
            </w:r>
          </w:p>
        </w:tc>
        <w:tc>
          <w:tcPr>
            <w:tcW w:w="4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Т7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Т8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Т9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Т10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Т11</w:t>
            </w:r>
          </w:p>
        </w:tc>
        <w:tc>
          <w:tcPr>
            <w:tcW w:w="5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Т12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Т13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Т14</w:t>
            </w:r>
          </w:p>
        </w:tc>
        <w:tc>
          <w:tcPr>
            <w:tcW w:w="1787" w:type="dxa"/>
            <w:vMerge w:val="restart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(100+100):2</w:t>
            </w:r>
          </w:p>
        </w:tc>
        <w:tc>
          <w:tcPr>
            <w:tcW w:w="1135" w:type="dxa"/>
            <w:vMerge w:val="restart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60-100</w:t>
            </w:r>
          </w:p>
        </w:tc>
      </w:tr>
      <w:tr w:rsidR="001C1470"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38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40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39" w:type="dxa"/>
          </w:tcPr>
          <w:p w:rsidR="001C1470" w:rsidRDefault="002D53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15</w:t>
            </w:r>
          </w:p>
        </w:tc>
        <w:tc>
          <w:tcPr>
            <w:tcW w:w="1787" w:type="dxa"/>
            <w:vMerge/>
          </w:tcPr>
          <w:p w:rsidR="001C1470" w:rsidRDefault="001C14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Merge/>
          </w:tcPr>
          <w:p w:rsidR="001C1470" w:rsidRDefault="001C14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Т1, Т2, Т3….Т14 – теми змістовних модулів </w:t>
      </w:r>
    </w:p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27" style="position:absolute;left:0;text-align:left;margin-left:0;margin-top:0;width:467.7pt;height:1.45pt;z-index:251661824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ПОЛІТИКА КУРСУ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Політика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дедлайнів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470" w:rsidRDefault="002D53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1C1470" w:rsidRDefault="001C14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470" w:rsidRDefault="002D53F6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дистанційного навчання НУ «Запорізька політехніка» (Система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https://moodle.zp.edu.ua/;</w:t>
      </w:r>
    </w:p>
    <w:p w:rsidR="001C1470" w:rsidRDefault="002D53F6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Інституційний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&amp;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quot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Запорізька політехніка&amp;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quot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http://eir.zp.edu.ua/;</w:t>
      </w:r>
    </w:p>
    <w:p w:rsidR="001C1470" w:rsidRDefault="002D53F6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наукової бібліотеки університету &amp;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quot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Запорізька політехніка&amp;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quot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http://library.zp.edu.ua/.</w:t>
      </w:r>
    </w:p>
    <w:p w:rsidR="001C1470" w:rsidRDefault="00B627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756">
        <w:pict>
          <v:rect id="_x0000_s1026" style="position:absolute;left:0;text-align:left;margin-left:0;margin-top:0;width:467.7pt;height:1.45pt;z-index:251662848;mso-wrap-style:none;mso-position-horizontal:center;mso-position-vertical:top;v-text-anchor:middle" o:allowincell="f" fillcolor="#a0a0a0" stroked="f" strokecolor="#3465a4">
            <v:fill color2="#5f5f5f" o:detectmouseclick="t"/>
            <v:stroke joinstyle="round"/>
            <w10:wrap type="topAndBottom"/>
          </v:rect>
        </w:pict>
      </w:r>
    </w:p>
    <w:p w:rsidR="001C1470" w:rsidRDefault="001C1470">
      <w:pPr>
        <w:spacing w:after="20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1470" w:rsidSect="001C1470">
      <w:headerReference w:type="default" r:id="rId10"/>
      <w:pgSz w:w="11906" w:h="16838"/>
      <w:pgMar w:top="765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74" w:rsidRDefault="00DB5F74" w:rsidP="001C1470">
      <w:pPr>
        <w:spacing w:line="240" w:lineRule="auto"/>
      </w:pPr>
      <w:r>
        <w:separator/>
      </w:r>
    </w:p>
  </w:endnote>
  <w:endnote w:type="continuationSeparator" w:id="0">
    <w:p w:rsidR="00DB5F74" w:rsidRDefault="00DB5F74" w:rsidP="001C1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74" w:rsidRDefault="00DB5F74" w:rsidP="001C1470">
      <w:pPr>
        <w:spacing w:line="240" w:lineRule="auto"/>
      </w:pPr>
      <w:r>
        <w:separator/>
      </w:r>
    </w:p>
  </w:footnote>
  <w:footnote w:type="continuationSeparator" w:id="0">
    <w:p w:rsidR="00DB5F74" w:rsidRDefault="00DB5F74" w:rsidP="001C14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70" w:rsidRDefault="001C1470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4449"/>
    <w:multiLevelType w:val="multilevel"/>
    <w:tmpl w:val="DEB68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B86526"/>
    <w:multiLevelType w:val="multilevel"/>
    <w:tmpl w:val="7AA0BE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470"/>
    <w:rsid w:val="001C1470"/>
    <w:rsid w:val="00267404"/>
    <w:rsid w:val="002D53F6"/>
    <w:rsid w:val="003845F3"/>
    <w:rsid w:val="004F6A1C"/>
    <w:rsid w:val="007E25FF"/>
    <w:rsid w:val="0088631C"/>
    <w:rsid w:val="008A0100"/>
    <w:rsid w:val="00A248D5"/>
    <w:rsid w:val="00B62756"/>
    <w:rsid w:val="00C11134"/>
    <w:rsid w:val="00C120B8"/>
    <w:rsid w:val="00D43159"/>
    <w:rsid w:val="00DB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line="276" w:lineRule="auto"/>
    </w:pPr>
    <w:rPr>
      <w:rFonts w:ascii="Arial" w:eastAsia="Arial" w:hAnsi="Arial" w:cs="Arial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"/>
    <w:qFormat/>
    <w:rsid w:val="00D44CD6"/>
    <w:rPr>
      <w:rFonts w:ascii="Arial" w:eastAsia="Arial" w:hAnsi="Arial" w:cs="Arial"/>
      <w:color w:val="434343"/>
      <w:sz w:val="28"/>
      <w:szCs w:val="28"/>
      <w:lang w:val="en-US" w:eastAsia="uk-UA"/>
    </w:rPr>
  </w:style>
  <w:style w:type="character" w:customStyle="1" w:styleId="a3">
    <w:name w:val="Гіперпосилання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CF66B9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qFormat/>
    <w:rsid w:val="00B62C5D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B62C5D"/>
    <w:rPr>
      <w:rFonts w:ascii="Arial" w:eastAsia="Arial" w:hAnsi="Arial" w:cs="Arial"/>
      <w:sz w:val="20"/>
      <w:szCs w:val="20"/>
      <w:lang w:val="en-US" w:eastAsia="uk-UA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B62C5D"/>
    <w:rPr>
      <w:rFonts w:ascii="Arial" w:eastAsia="Arial" w:hAnsi="Arial" w:cs="Arial"/>
      <w:b/>
      <w:bCs/>
      <w:sz w:val="20"/>
      <w:szCs w:val="20"/>
      <w:lang w:val="en-US" w:eastAsia="uk-UA"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3E6319"/>
    <w:rPr>
      <w:rFonts w:ascii="Arial" w:eastAsia="Arial" w:hAnsi="Arial" w:cs="Arial"/>
      <w:lang w:val="en-US" w:eastAsia="uk-UA"/>
    </w:rPr>
  </w:style>
  <w:style w:type="character" w:customStyle="1" w:styleId="aa">
    <w:name w:val="Нижний колонтитул Знак"/>
    <w:basedOn w:val="a0"/>
    <w:link w:val="Footer"/>
    <w:uiPriority w:val="99"/>
    <w:qFormat/>
    <w:rsid w:val="003E6319"/>
    <w:rPr>
      <w:rFonts w:ascii="Arial" w:eastAsia="Arial" w:hAnsi="Arial" w:cs="Arial"/>
      <w:lang w:val="en-US" w:eastAsia="uk-UA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EC43CE"/>
    <w:rPr>
      <w:rFonts w:ascii="Tahoma" w:eastAsia="Arial" w:hAnsi="Tahoma" w:cs="Tahoma"/>
      <w:sz w:val="16"/>
      <w:szCs w:val="16"/>
      <w:lang w:val="en-US" w:eastAsia="uk-UA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060789"/>
    <w:rPr>
      <w:color w:val="605E5C"/>
      <w:shd w:val="clear" w:color="auto" w:fill="E1DFDD"/>
    </w:rPr>
  </w:style>
  <w:style w:type="character" w:customStyle="1" w:styleId="ad">
    <w:name w:val="Текст сноски Знак"/>
    <w:basedOn w:val="a0"/>
    <w:link w:val="FootnoteText"/>
    <w:uiPriority w:val="99"/>
    <w:semiHidden/>
    <w:qFormat/>
    <w:rsid w:val="00E71DB2"/>
    <w:rPr>
      <w:rFonts w:ascii="Arial" w:eastAsia="Arial" w:hAnsi="Arial" w:cs="Arial"/>
      <w:sz w:val="20"/>
      <w:szCs w:val="20"/>
      <w:lang w:val="en-US" w:eastAsia="uk-UA"/>
    </w:rPr>
  </w:style>
  <w:style w:type="character" w:customStyle="1" w:styleId="ae">
    <w:name w:val="Прив'язка виноски"/>
    <w:rsid w:val="001C147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71DB2"/>
    <w:rPr>
      <w:vertAlign w:val="superscript"/>
    </w:rPr>
  </w:style>
  <w:style w:type="paragraph" w:customStyle="1" w:styleId="af">
    <w:name w:val="Заголовок"/>
    <w:basedOn w:val="a"/>
    <w:next w:val="af0"/>
    <w:qFormat/>
    <w:rsid w:val="001C14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Body Text"/>
    <w:basedOn w:val="a"/>
    <w:rsid w:val="001C1470"/>
    <w:pPr>
      <w:spacing w:after="140"/>
    </w:pPr>
  </w:style>
  <w:style w:type="paragraph" w:styleId="af1">
    <w:name w:val="List"/>
    <w:basedOn w:val="af0"/>
    <w:rsid w:val="001C1470"/>
  </w:style>
  <w:style w:type="paragraph" w:customStyle="1" w:styleId="Caption">
    <w:name w:val="Caption"/>
    <w:basedOn w:val="a"/>
    <w:qFormat/>
    <w:rsid w:val="001C14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2">
    <w:name w:val="Покажчик"/>
    <w:basedOn w:val="a"/>
    <w:qFormat/>
    <w:rsid w:val="001C1470"/>
    <w:pPr>
      <w:suppressLineNumbers/>
    </w:pPr>
  </w:style>
  <w:style w:type="paragraph" w:styleId="a6">
    <w:name w:val="annotation text"/>
    <w:basedOn w:val="a"/>
    <w:link w:val="a5"/>
    <w:uiPriority w:val="99"/>
    <w:semiHidden/>
    <w:unhideWhenUsed/>
    <w:qFormat/>
    <w:rsid w:val="00B62C5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B62C5D"/>
    <w:rPr>
      <w:b/>
      <w:bCs/>
    </w:rPr>
  </w:style>
  <w:style w:type="paragraph" w:customStyle="1" w:styleId="af3">
    <w:name w:val="Верхній і нижній колонтитули"/>
    <w:basedOn w:val="a"/>
    <w:qFormat/>
    <w:rsid w:val="001C1470"/>
  </w:style>
  <w:style w:type="paragraph" w:customStyle="1" w:styleId="Header">
    <w:name w:val="Header"/>
    <w:basedOn w:val="a"/>
    <w:link w:val="a9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paragraph" w:customStyle="1" w:styleId="Footer">
    <w:name w:val="Footer"/>
    <w:basedOn w:val="a"/>
    <w:link w:val="aa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paragraph" w:styleId="ac">
    <w:name w:val="Balloon Text"/>
    <w:basedOn w:val="a"/>
    <w:link w:val="ab"/>
    <w:uiPriority w:val="99"/>
    <w:semiHidden/>
    <w:unhideWhenUsed/>
    <w:qFormat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1619A5"/>
    <w:pPr>
      <w:ind w:left="720"/>
      <w:contextualSpacing/>
    </w:pPr>
  </w:style>
  <w:style w:type="paragraph" w:customStyle="1" w:styleId="FootnoteText">
    <w:name w:val="Footnote Text"/>
    <w:basedOn w:val="a"/>
    <w:link w:val="ad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paragraph" w:customStyle="1" w:styleId="10">
    <w:name w:val="Текст1"/>
    <w:basedOn w:val="a"/>
    <w:qFormat/>
    <w:rsid w:val="002B113B"/>
    <w:pPr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qFormat/>
    <w:rsid w:val="004332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Normal (Web)"/>
    <w:basedOn w:val="a"/>
    <w:uiPriority w:val="99"/>
    <w:unhideWhenUsed/>
    <w:qFormat/>
    <w:rsid w:val="00615C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6">
    <w:name w:val="Table Grid"/>
    <w:basedOn w:val="a1"/>
    <w:uiPriority w:val="59"/>
    <w:rsid w:val="00CE3A88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B111-6A64-44B7-A933-B7B04694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2025-04-23T21:42:00Z</dcterms:created>
  <dcterms:modified xsi:type="dcterms:W3CDTF">2025-04-23T21:42:00Z</dcterms:modified>
  <dc:language>uk-UA</dc:language>
</cp:coreProperties>
</file>