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30" w:rsidRDefault="008168B7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Гуманітарний факультет</w:t>
      </w:r>
    </w:p>
    <w:p w:rsidR="00C57430" w:rsidRDefault="008168B7">
      <w:pPr>
        <w:spacing w:after="0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Кафедра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41F52D6">
          <v:rect id="_x0000_i1025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(обов’язкової)</w:t>
            </w:r>
          </w:p>
          <w:p w:rsidR="00C57430" w:rsidRDefault="008168B7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ОК-4 ПРАКТИЧНИЙ КУРС ДРУГОЇ ІНОЗЕМНОЇ МОВИ (ФРАНЦУЗЬКОЇ)</w:t>
            </w:r>
          </w:p>
          <w:p w:rsidR="00C57430" w:rsidRDefault="008168B7">
            <w:pPr>
              <w:spacing w:after="0" w:line="240" w:lineRule="auto"/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компонента</w:t>
            </w:r>
            <w:r w:rsidRPr="008650A9">
              <w:rPr>
                <w:rFonts w:ascii="Roboto Condensed" w:eastAsia="Arial" w:hAnsi="Roboto Condensed" w:cs="Times New Roman"/>
                <w:sz w:val="28"/>
                <w:szCs w:val="28"/>
                <w:lang w:eastAsia="uk-UA"/>
              </w:rPr>
              <w:t>: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ЄКТС </w:t>
            </w:r>
            <w:r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 300 годин)</w:t>
            </w:r>
          </w:p>
        </w:tc>
      </w:tr>
    </w:tbl>
    <w:p w:rsidR="00C57430" w:rsidRDefault="008168B7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3DCA5589">
          <v:rect id="_x0000_i1026" style="width:0;height:1.5pt" o:hralign="center" o:hrstd="t" o:hr="t" fillcolor="#a0a0a0" stroked="f"/>
        </w:pict>
      </w:r>
    </w:p>
    <w:p w:rsidR="00C57430" w:rsidRDefault="008168B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«Германські мови та літератури</w:t>
      </w:r>
    </w:p>
    <w:p w:rsidR="00C57430" w:rsidRDefault="008168B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(переклад включно), перша – англійська»</w:t>
      </w:r>
    </w:p>
    <w:p w:rsidR="00C57430" w:rsidRDefault="008168B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Другого</w:t>
      </w:r>
      <w:r w:rsidRPr="008650A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eastAsia="uk-UA"/>
        </w:rPr>
        <w:t xml:space="preserve"> (магістерського)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рівня вищої освіти</w:t>
      </w:r>
    </w:p>
    <w:p w:rsidR="00C57430" w:rsidRDefault="008168B7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Спеціальність – 035 Філологія</w:t>
      </w:r>
    </w:p>
    <w:p w:rsidR="00C57430" w:rsidRDefault="008168B7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5225314">
          <v:rect id="_x0000_i1027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C57430" w:rsidRDefault="00C57430">
      <w:pP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57430">
        <w:trPr>
          <w:trHeight w:val="2822"/>
        </w:trPr>
        <w:tc>
          <w:tcPr>
            <w:tcW w:w="9214" w:type="dxa"/>
          </w:tcPr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Лут Катерина Анатоліївна, доцент, кандидат філологічних наук</w:t>
            </w:r>
          </w:p>
          <w:p w:rsidR="00C57430" w:rsidRDefault="00C57430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Контактна 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інформація:</w:t>
            </w: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 +380617698589;</w:t>
            </w: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e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mail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 xml:space="preserve">: 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katerinalut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@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gmail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.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fr-FR" w:eastAsia="uk-UA"/>
              </w:rPr>
              <w:t>com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 та номер аудиторії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: 1</w:t>
            </w: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корпус, 236а</w:t>
            </w:r>
          </w:p>
          <w:p w:rsidR="00C57430" w:rsidRDefault="00C57430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:rsidR="00C57430" w:rsidRDefault="008168B7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</w:p>
        </w:tc>
      </w:tr>
    </w:tbl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0FDFC41">
          <v:rect id="_x0000_i1028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keepNext/>
              <w:keepLines/>
              <w:spacing w:after="0" w:line="240" w:lineRule="auto"/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C57430" w:rsidRDefault="00C57430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:rsidR="00C57430" w:rsidRDefault="008168B7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Курс другої іноземної мови (французької, рівень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В2) призначений для тих, хто вже опанував навички володіння мовою на рівні В1 і прагне покращити свої знання до рівня В2. Учасники курсу зможуть розширити свій лексичний запас, поглибити граматичні знання та розвинути навички говоріння, читання, письма та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аудіювання, що дозволить їм ефективніше спілкуватися як в повсякденних ситуаціях так і у  професійному середовищі.</w:t>
      </w:r>
    </w:p>
    <w:p w:rsidR="00C57430" w:rsidRDefault="008168B7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Програма курсу охоплює теми, пов'язані з традиціями та звичаями французів, особливостями утворення сім’ї, кар’єрою, дозвіллям, подорожами та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>різними соціальними ситуаціями. Вивчення мови відбувається через інтерактивні методи, такі як рольові ігри, дискусії, прослуховування аудіозаписів і читання автентичних, неадаптованих текстів.</w:t>
      </w:r>
    </w:p>
    <w:p w:rsidR="00C57430" w:rsidRDefault="008168B7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Після завершення курсу студенти зможуть читати та перекладати 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тексти за програмною тематикою; писати зрозумілі, деталізовані тексти різного спрямування, пов'язані з особистою та професійною сферами; розуміти 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lastRenderedPageBreak/>
        <w:t>французьке монологічне та діалогічне мовлення за програмною тематикою; продукувати міні-діалоги  та монологи у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ситуативній комунікації.</w:t>
      </w:r>
    </w:p>
    <w:p w:rsidR="00C57430" w:rsidRDefault="008168B7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107A855">
          <v:rect id="_x0000_i1029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вивчення дисципліни «Практичний курс другої іноземної мови (французької)» є формування іншомовної компетентності в усіх видах мовленнєвої діяльності: аудіювання, говоріння, читання та письмо; сприяння розвитку здібностей до самооцінки та здатності до само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стійного навчання, що дозволятиме студентам продовжувати навчання в академічному і професійному середовищі й після отримання диплома про вищу освіту; визначати позицію і точку зору мовця;  розрізняти різні стилістичні регістри в усному та письмовому спілку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ванні з носіями мови, друзями, незнайомцями, колегами, працедавцями і з людьми різного віку і соціального статусу, маючи при цьому різні наміри спілкування.</w:t>
      </w:r>
    </w:p>
    <w:p w:rsidR="00C57430" w:rsidRDefault="008168B7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результаті вивчення навчальної дисципліни здобувачі освіти повинні розвинути та вдосконалити такі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компетентності: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57430" w:rsidRDefault="008168B7" w:rsidP="008650A9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ЗК-1. Здатність спілкуватися державною мовою як усно, так і письмово.</w:t>
      </w:r>
    </w:p>
    <w:p w:rsidR="00C57430" w:rsidRDefault="008168B7" w:rsidP="008650A9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ЗК-3 Здатність до пошуку, опрацювання та аналізу інформації з різних джерел. </w:t>
      </w:r>
    </w:p>
    <w:p w:rsidR="00C57430" w:rsidRDefault="008168B7" w:rsidP="008650A9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ЗК-5 Здатність працювати в команді та автономно. </w:t>
      </w:r>
    </w:p>
    <w:p w:rsidR="00C57430" w:rsidRDefault="008168B7" w:rsidP="008650A9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ЗК-6 Здатність спілкуватися іно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земною мовою. </w:t>
      </w:r>
    </w:p>
    <w:p w:rsidR="00C57430" w:rsidRDefault="008168B7" w:rsidP="008650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ЗК-7. Здатність до абстрактного мислення, аналізу та синтезу. </w:t>
      </w:r>
    </w:p>
    <w:p w:rsidR="00C57430" w:rsidRDefault="008168B7" w:rsidP="008650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ЗК-8. Навички використання інформаційних і комунікаційних технологій.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57430" w:rsidRDefault="008168B7" w:rsidP="008650A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спеціальні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57430" w:rsidRDefault="008168B7" w:rsidP="008650A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СК-8. Усвідомлення ролі експресивних, емоційних, логічних засобів мови для досягнення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запланованого прагматичного результату.</w:t>
      </w:r>
    </w:p>
    <w:p w:rsidR="00C57430" w:rsidRDefault="008168B7" w:rsidP="008650A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Додаткові фахові компетентності: </w:t>
      </w:r>
    </w:p>
    <w:p w:rsidR="00C57430" w:rsidRDefault="008168B7" w:rsidP="008650A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СК-9. Володіння двома іноземними мовами відповідно до загальноєвропейських рекомендацій з мовної освіти (CEFR): рівень С1 для першої (англійська) мови, рівень В2 – для другої мови. </w:t>
      </w:r>
    </w:p>
    <w:p w:rsidR="00C57430" w:rsidRDefault="008168B7" w:rsidP="008650A9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СК-10. 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трансформацій. </w:t>
      </w:r>
    </w:p>
    <w:p w:rsidR="00C57430" w:rsidRDefault="008168B7" w:rsidP="008650A9">
      <w:pPr>
        <w:tabs>
          <w:tab w:val="left" w:pos="284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програмні результати навчання:</w:t>
      </w:r>
    </w:p>
    <w:p w:rsidR="00C57430" w:rsidRDefault="008168B7" w:rsidP="008650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ПРН-2. Упевнено володіти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державною та іноземними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C57430" w:rsidRDefault="008168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ПРН-6. Застосовувати знання про експресивні, емоційні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C57430" w:rsidRDefault="008168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ПРН-10. Збирати й систематизувати мовні, літературні, фольклорні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факти, інтерпретувати й перекладати тексти різних стилів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жанрів (залежно від обраної спеціалізації)</w:t>
      </w:r>
    </w:p>
    <w:p w:rsidR="00C57430" w:rsidRDefault="008168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ПРН-14. Створювати, аналізувати та редагувати тексти різних стилів і жанрів.</w:t>
      </w:r>
    </w:p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0" w:name="_lhah7jzs1h2"/>
      <w:bookmarkEnd w:id="0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4968B10">
          <v:rect id="_x0000_i1030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Передумовами вивчення дисципліни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Практичний курс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другої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іноземної мови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(французької)»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 наявність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здобувачів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базових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навичок комунікативної поведінки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французькою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мовою. Дисципліни, що передують вивченню – «Українська мова», «Практичний курс першої іноземної мови».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«Лінгвокраїнознавство».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Знання та навички, здобуті під час опанування курсу, будуть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корисні впродовж всього подальшого навчання, зокрема для написання наукових робіт, тез та статей, а також для переддипломної практики та дипломування.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66F7A922">
          <v:rect id="_x0000_i1031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  <w:bookmarkEnd w:id="1"/>
    </w:tbl>
    <w:p w:rsidR="00C57430" w:rsidRDefault="00C57430">
      <w:pPr>
        <w:spacing w:after="0" w:line="240" w:lineRule="auto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103"/>
        <w:gridCol w:w="3712"/>
        <w:gridCol w:w="4536"/>
      </w:tblGrid>
      <w:tr w:rsidR="00C57430">
        <w:trPr>
          <w:trHeight w:val="626"/>
        </w:trPr>
        <w:tc>
          <w:tcPr>
            <w:tcW w:w="1103" w:type="dxa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3712" w:type="dxa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змістових модулів, год.</w:t>
            </w:r>
          </w:p>
        </w:tc>
        <w:tc>
          <w:tcPr>
            <w:tcW w:w="4536" w:type="dxa"/>
            <w:vAlign w:val="center"/>
          </w:tcPr>
          <w:p w:rsidR="00C57430" w:rsidRPr="009E1671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Теми практичних </w:t>
            </w: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занять</w:t>
            </w:r>
            <w:r w:rsidR="008650A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, год</w:t>
            </w:r>
            <w:bookmarkStart w:id="2" w:name="_GoBack"/>
            <w:bookmarkEnd w:id="2"/>
          </w:p>
        </w:tc>
      </w:tr>
      <w:tr w:rsidR="00C57430">
        <w:trPr>
          <w:trHeight w:val="302"/>
        </w:trPr>
        <w:tc>
          <w:tcPr>
            <w:tcW w:w="1103" w:type="dxa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712" w:type="dxa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C57430" w:rsidRPr="008650A9">
        <w:trPr>
          <w:trHeight w:val="302"/>
        </w:trPr>
        <w:tc>
          <w:tcPr>
            <w:tcW w:w="9351" w:type="dxa"/>
            <w:gridSpan w:val="3"/>
            <w:vAlign w:val="center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fr-FR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>Модуль 1. L’individu : entre construction identitaire et bien-être physique (1 семестр)</w:t>
            </w:r>
          </w:p>
        </w:tc>
      </w:tr>
      <w:tr w:rsidR="00C57430" w:rsidRPr="008650A9">
        <w:trPr>
          <w:trHeight w:val="326"/>
        </w:trPr>
        <w:tc>
          <w:tcPr>
            <w:tcW w:w="1103" w:type="dxa"/>
            <w:vMerge w:val="restart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1-8</w:t>
            </w:r>
          </w:p>
        </w:tc>
        <w:tc>
          <w:tcPr>
            <w:tcW w:w="3712" w:type="dxa"/>
            <w:vMerge w:val="restart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uk-UA" w:eastAsia="uk-UA"/>
              </w:rPr>
              <w:t>Змістовий модуль 1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uk-UA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Identit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(23 год)</w:t>
            </w: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Les constituants de l’identité, 5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годин</w:t>
            </w:r>
          </w:p>
        </w:tc>
      </w:tr>
      <w:tr w:rsidR="00C57430">
        <w:trPr>
          <w:trHeight w:val="273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Les origines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6 годин</w:t>
            </w:r>
          </w:p>
        </w:tc>
      </w:tr>
      <w:tr w:rsidR="00C57430">
        <w:trPr>
          <w:trHeight w:val="302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La famille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, 6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годин</w:t>
            </w:r>
          </w:p>
        </w:tc>
      </w:tr>
      <w:tr w:rsidR="00C57430">
        <w:trPr>
          <w:trHeight w:val="302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4. L’adoption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6 годин</w:t>
            </w:r>
          </w:p>
        </w:tc>
      </w:tr>
      <w:tr w:rsidR="00C57430">
        <w:trPr>
          <w:trHeight w:val="118"/>
        </w:trPr>
        <w:tc>
          <w:tcPr>
            <w:tcW w:w="1103" w:type="dxa"/>
            <w:vMerge w:val="restart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9-14</w:t>
            </w:r>
          </w:p>
        </w:tc>
        <w:tc>
          <w:tcPr>
            <w:tcW w:w="3712" w:type="dxa"/>
            <w:vMerge w:val="restart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Змістовий модуль 1.2.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Santé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(21 год)</w:t>
            </w: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Le corps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>
        <w:trPr>
          <w:trHeight w:val="51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. Le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>
        <w:trPr>
          <w:trHeight w:val="51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3. La sant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 w:rsidRPr="008650A9">
        <w:trPr>
          <w:trHeight w:val="302"/>
        </w:trPr>
        <w:tc>
          <w:tcPr>
            <w:tcW w:w="9351" w:type="dxa"/>
            <w:gridSpan w:val="3"/>
            <w:vAlign w:val="center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 xml:space="preserve">Модуль 2. Les échanges humains et culturels : migrations et francophonie dans un monde en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ru-RU"/>
              </w:rPr>
              <w:t>mouvement (2 семестр)</w:t>
            </w:r>
          </w:p>
        </w:tc>
      </w:tr>
      <w:tr w:rsidR="00C57430" w:rsidRPr="008650A9">
        <w:trPr>
          <w:trHeight w:val="349"/>
        </w:trPr>
        <w:tc>
          <w:tcPr>
            <w:tcW w:w="1103" w:type="dxa"/>
            <w:vMerge w:val="restart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  <w:t>1-8</w:t>
            </w:r>
          </w:p>
        </w:tc>
        <w:tc>
          <w:tcPr>
            <w:tcW w:w="3712" w:type="dxa"/>
            <w:vMerge w:val="restart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Змістовий модуль 2.1.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Migrations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(30 год)</w:t>
            </w: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Les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migrations de population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>
        <w:trPr>
          <w:trHeight w:val="411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fr-FR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Les migrants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 w:rsidRPr="008650A9">
        <w:trPr>
          <w:trHeight w:val="274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Voyage et tourism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8 годин</w:t>
            </w:r>
          </w:p>
        </w:tc>
      </w:tr>
      <w:tr w:rsidR="00C57430" w:rsidRPr="008650A9">
        <w:trPr>
          <w:trHeight w:val="280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fr-FR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4. Les pays accueillants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8 годин</w:t>
            </w:r>
          </w:p>
        </w:tc>
      </w:tr>
      <w:tr w:rsidR="00C57430" w:rsidRPr="008650A9">
        <w:trPr>
          <w:trHeight w:val="280"/>
        </w:trPr>
        <w:tc>
          <w:tcPr>
            <w:tcW w:w="1103" w:type="dxa"/>
            <w:vMerge w:val="restart"/>
            <w:vAlign w:val="center"/>
          </w:tcPr>
          <w:p w:rsidR="00C57430" w:rsidRDefault="008168B7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  <w:t>9-15</w:t>
            </w:r>
          </w:p>
        </w:tc>
        <w:tc>
          <w:tcPr>
            <w:tcW w:w="3712" w:type="dxa"/>
            <w:vMerge w:val="restart"/>
          </w:tcPr>
          <w:p w:rsidR="00C57430" w:rsidRDefault="0081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Змістовий модуль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Francophonies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(30 год)</w:t>
            </w: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L’apprentissage de la langue françaiseet des langues étrangères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 w:rsidRPr="008650A9">
        <w:trPr>
          <w:trHeight w:val="280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fr-FR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 xml:space="preserve">Тема 2.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>La semaine de francophonie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7 годин</w:t>
            </w:r>
          </w:p>
        </w:tc>
      </w:tr>
      <w:tr w:rsidR="00C57430" w:rsidRPr="008650A9">
        <w:trPr>
          <w:trHeight w:val="280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fr-FR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3. Langues et cultures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8 годин</w:t>
            </w:r>
          </w:p>
        </w:tc>
      </w:tr>
      <w:tr w:rsidR="00C57430">
        <w:trPr>
          <w:trHeight w:val="271"/>
        </w:trPr>
        <w:tc>
          <w:tcPr>
            <w:tcW w:w="1103" w:type="dxa"/>
            <w:vMerge/>
            <w:vAlign w:val="center"/>
          </w:tcPr>
          <w:p w:rsidR="00C57430" w:rsidRDefault="00C57430">
            <w:pPr>
              <w:spacing w:after="0" w:line="240" w:lineRule="auto"/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fr-FR" w:eastAsia="uk-UA"/>
              </w:rPr>
            </w:pPr>
          </w:p>
        </w:tc>
        <w:tc>
          <w:tcPr>
            <w:tcW w:w="3712" w:type="dxa"/>
            <w:vMerge/>
          </w:tcPr>
          <w:p w:rsidR="00C57430" w:rsidRDefault="00C57430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536" w:type="dxa"/>
          </w:tcPr>
          <w:p w:rsidR="00C57430" w:rsidRDefault="00816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fr-FR" w:eastAsia="ru-RU"/>
              </w:rPr>
              <w:t xml:space="preserve"> 4. Multilinguisme, bilinguisme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, 8 годин</w:t>
            </w:r>
          </w:p>
        </w:tc>
      </w:tr>
    </w:tbl>
    <w:p w:rsidR="00C57430" w:rsidRDefault="00C57430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EB00391">
          <v:rect id="_x0000_i1032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 xml:space="preserve">САМОСТІЙНА </w:t>
            </w: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РОБОТА</w:t>
            </w:r>
          </w:p>
        </w:tc>
      </w:tr>
    </w:tbl>
    <w:p w:rsidR="00C57430" w:rsidRDefault="008168B7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lastRenderedPageBreak/>
        <w:t>Основними формами самостійної роботи упродовж семестру є: опрацювання матеріалу з підручника, виконання вправ, робота із словниками, як двомовними, так і одномовними (тлумачними) задля уточнення значення слова, виявлення синонімів, антонімів, парон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імів, аналізу відтінків значень, визначенню приналежності лексем до стилістично маркованої або нейтральної лексики, опрацювання стійких словосполучень тощо; перегляд відео, прослуховування автентичних аудіозаписів, на основі яких відбувається підготовка ст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удентами власних презентацій або написання есе на тему, яка підіймається автором повідомлення з метою подальшого обговорення проблемного питання на занятті. Самостійна робота сприяє розвитку творчого і критичного мислення, вміння добирати необхідний матері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ал до теми, аналізувати його і робити власні висновки на основі отриманої інформації</w:t>
      </w:r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>.</w:t>
      </w: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52369142">
          <v:rect id="_x0000_i1033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C57430" w:rsidRDefault="00C5743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</w:pPr>
    </w:p>
    <w:p w:rsidR="00C57430" w:rsidRDefault="008168B7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  <w:t xml:space="preserve">Лут К.А. Методична розробка розмовних тем з практичного курсу французької мови як другої іноземної для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uk-UA" w:eastAsia="ru-RU"/>
        </w:rPr>
        <w:t>студентів 5 курсу спеціальності 035.041 Германські мови та літератури (переклад включно) (перша – англійська)/ Укл. Лут К.А. Запоріжжя : НУ «Запорізька політехніка», 2021.  42 с.</w:t>
      </w:r>
    </w:p>
    <w:p w:rsidR="00C57430" w:rsidRDefault="008168B7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Antier M., Bonnenfant J., Chort G. Alter ego+ 4. Hachette, 2015. 224 p. 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D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escotes-Genon C. L’Exercisier. Manuel d’expression française. / Christiane Descotes-Genon, Marie-Hélène Morsel, Claude Richon[ Seconde édition revue et corrigée ] Presses universitaires de Grenoble, 2005. 352 p.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Grégoire M.. Exercices communicatifs de 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 Grammaire progressive du français. Niveau intermédiaire.  CLE International/SEJER, 2004. 192 p.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Clément O.G. Civilisation en dialogue. Niveau intermédiaire. CLE International, 2008. 128 p.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Miquel C. Grammaire en dialogues. Niveau avancé. CLE Intern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ational, 2013. 144 p. 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Nelly M. La France de toujours / Mauchamp Nelly.  Paris : Clé International, 2004. 192 p.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RFI. </w:t>
      </w:r>
      <w:r w:rsidRPr="008650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 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https://savoirs.rfi.fr/fr/apprendre-enseigner/langue-fran%C3%A7aise/test-de-placement-b1/1</w:t>
      </w:r>
    </w:p>
    <w:p w:rsidR="00C57430" w:rsidRDefault="008168B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TV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Monde. URL: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http://www.tv5.o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rg/TV5Site/7-jours/</w:t>
      </w:r>
    </w:p>
    <w:p w:rsidR="00C57430" w:rsidRDefault="00C5743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C57430" w:rsidRDefault="008168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 xml:space="preserve">Згідно з Положенням про організацію освітнього процесу в Національному університеті «Запорізька політехніка», передбачено такі контрольні заходи: вхідний, поточний, рубіжний (модульний, тематичний, календарний), </w:t>
      </w:r>
      <w:r>
        <w:rPr>
          <w:rFonts w:ascii="Times New Roman" w:hAnsi="Times New Roman" w:cs="Times New Roman"/>
          <w:sz w:val="28"/>
          <w:szCs w:val="24"/>
          <w:lang w:val="uk-UA"/>
        </w:rPr>
        <w:t>відстрочений, підсумковий та семестровий контроль, а також комплексні контрольні роботи та ректорські контрольні роботи</w:t>
      </w:r>
      <w:r>
        <w:rPr>
          <w:rStyle w:val="a7"/>
          <w:sz w:val="28"/>
          <w:szCs w:val="24"/>
          <w:lang w:val="uk-UA"/>
        </w:rPr>
        <w:t>1</w:t>
      </w:r>
      <w:r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C57430" w:rsidRDefault="00816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Методами контролю для студентів денної форми навчання є: усний контроль (усне опитування), письмовий, тестовий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рубіжне контр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ольне завдання, іспит (1 та 2 семестри), а також методи самоконтролю і самооцінки. </w:t>
      </w:r>
    </w:p>
    <w:p w:rsidR="00C57430" w:rsidRDefault="00816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контролю знань здобувачів передбачає поточний, рубіжний і підсумковий контроль. Поточний контроль здійснюється під час практичних занять, враховуючи активність, уча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сть у дискусіях та інші види роботи. Рубіжний контроль проводиться після завершення частини програми у формі модульної контрольної роботи або на основі результатів поточного контролю.</w:t>
      </w:r>
    </w:p>
    <w:p w:rsidR="00C57430" w:rsidRDefault="00816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Підсумковий контроль (екзамен) проводиться за 100-бальною системою і охо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плює весь матеріал, визначений робочою програмою дисципліни. Підсумкова оцінка складається з балів за поточну, рубіжну та підсумкову роботи.</w:t>
      </w:r>
    </w:p>
    <w:p w:rsidR="00C57430" w:rsidRDefault="008168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студентів заочної форми навчання підсумкова оцінка є сумою балів за контрольну роботу та іспит.</w:t>
      </w:r>
    </w:p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BDA824D">
          <v:rect id="_x0000_i1034" style="width:0;height:1.5pt" o:hralign="center" o:hrstd="t" o:hr="t" fillcolor="#a0a0a0" stroked="f"/>
        </w:pict>
      </w: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</w:t>
            </w:r>
            <w:r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У</w:t>
            </w:r>
          </w:p>
        </w:tc>
      </w:tr>
    </w:tbl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навчання студенти зобов'язані дотримуватися академічної доброчесності: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дотримуватися норм законодавства про авторське право;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брати активну участь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навчальному процесі;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 запізнюватися на заняття, не пропускати заняття без поважних причин;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і своєчасно вивчати матеріал пропущеного заняття;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давати достовірну інформацію про результати власної навчальної діяльності.</w:t>
      </w:r>
    </w:p>
    <w:p w:rsidR="00C57430" w:rsidRDefault="008168B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бути терпимими 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доброзичливими до однокурсників та викладачів.</w:t>
      </w:r>
    </w:p>
    <w:p w:rsidR="00C57430" w:rsidRDefault="008168B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- при вивченні курсу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8" w:history="1">
        <w:r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uk-UA" w:eastAsia="uk-UA"/>
          </w:rPr>
          <w:t>https://zp.edu.ua/uploads/dept_nm/Nakaz_N253_vid_29.06.21.pdf</w:t>
        </w:r>
      </w:hyperlink>
      <w:r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 </w:t>
      </w:r>
    </w:p>
    <w:p w:rsidR="00C57430" w:rsidRDefault="00C57430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tbl>
      <w:tblPr>
        <w:tblStyle w:val="ac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C57430">
        <w:tc>
          <w:tcPr>
            <w:tcW w:w="9356" w:type="dxa"/>
            <w:shd w:val="clear" w:color="auto" w:fill="C6D9F1" w:themeFill="text2" w:themeFillTint="33"/>
          </w:tcPr>
          <w:p w:rsidR="00C57430" w:rsidRDefault="008168B7">
            <w:pPr>
              <w:spacing w:after="0" w:line="240" w:lineRule="auto"/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C57430" w:rsidRDefault="008168B7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</w:t>
      </w:r>
      <w:r>
        <w:rPr>
          <w:rFonts w:ascii="Times New Roman" w:eastAsia="Arial" w:hAnsi="Times New Roman" w:cs="Times New Roman"/>
          <w:sz w:val="28"/>
          <w:szCs w:val="28"/>
          <w:lang w:val="uk-UA" w:eastAsia="uk-UA"/>
        </w:rPr>
        <w:t>платформи Moodle.</w:t>
      </w:r>
    </w:p>
    <w:p w:rsidR="00C57430" w:rsidRDefault="008168B7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57EA765">
          <v:rect id="_x0000_i1035" style="width:0;height:1.5pt" o:hralign="center" o:hrstd="t" o:hr="t" fillcolor="#a0a0a0" stroked="f"/>
        </w:pict>
      </w:r>
    </w:p>
    <w:p w:rsidR="00C57430" w:rsidRDefault="008168B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Положення про організацію освітнього процесу Національного університету «Запорізька політехніка» / Укладачі: В. Грешта та ін. НУ «Запорізька політехніка»,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2021. 41 </w:t>
      </w:r>
    </w:p>
    <w:sectPr w:rsidR="00C57430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B7" w:rsidRDefault="008168B7">
      <w:pPr>
        <w:spacing w:line="240" w:lineRule="auto"/>
      </w:pPr>
      <w:r>
        <w:separator/>
      </w:r>
    </w:p>
  </w:endnote>
  <w:endnote w:type="continuationSeparator" w:id="0">
    <w:p w:rsidR="008168B7" w:rsidRDefault="0081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B7" w:rsidRDefault="008168B7">
      <w:pPr>
        <w:spacing w:after="0"/>
      </w:pPr>
      <w:r>
        <w:separator/>
      </w:r>
    </w:p>
  </w:footnote>
  <w:footnote w:type="continuationSeparator" w:id="0">
    <w:p w:rsidR="008168B7" w:rsidRDefault="008168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30" w:rsidRDefault="008168B7">
    <w:pPr>
      <w:pStyle w:val="a8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204771D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43914"/>
    <w:rsid w:val="000463C8"/>
    <w:rsid w:val="000535A8"/>
    <w:rsid w:val="00112273"/>
    <w:rsid w:val="00124F99"/>
    <w:rsid w:val="00126B19"/>
    <w:rsid w:val="00136FCE"/>
    <w:rsid w:val="00153377"/>
    <w:rsid w:val="00191C07"/>
    <w:rsid w:val="001A109F"/>
    <w:rsid w:val="001C65A1"/>
    <w:rsid w:val="001F1812"/>
    <w:rsid w:val="00214BAB"/>
    <w:rsid w:val="0021501F"/>
    <w:rsid w:val="00221B12"/>
    <w:rsid w:val="00224878"/>
    <w:rsid w:val="00243EC5"/>
    <w:rsid w:val="002A0863"/>
    <w:rsid w:val="002F0327"/>
    <w:rsid w:val="002F650D"/>
    <w:rsid w:val="0033776E"/>
    <w:rsid w:val="00360E00"/>
    <w:rsid w:val="00382474"/>
    <w:rsid w:val="0038539B"/>
    <w:rsid w:val="003A3FEA"/>
    <w:rsid w:val="003A4F9E"/>
    <w:rsid w:val="003D5525"/>
    <w:rsid w:val="003D6615"/>
    <w:rsid w:val="0042024C"/>
    <w:rsid w:val="00424B9A"/>
    <w:rsid w:val="00452C4B"/>
    <w:rsid w:val="0046055F"/>
    <w:rsid w:val="004A4C8B"/>
    <w:rsid w:val="004B093B"/>
    <w:rsid w:val="004B678B"/>
    <w:rsid w:val="004C18DF"/>
    <w:rsid w:val="004C35FF"/>
    <w:rsid w:val="004E7434"/>
    <w:rsid w:val="00540F25"/>
    <w:rsid w:val="00561129"/>
    <w:rsid w:val="005612C5"/>
    <w:rsid w:val="005C1771"/>
    <w:rsid w:val="005D7D89"/>
    <w:rsid w:val="005E77A6"/>
    <w:rsid w:val="0062475F"/>
    <w:rsid w:val="00653654"/>
    <w:rsid w:val="00666C73"/>
    <w:rsid w:val="00676CAC"/>
    <w:rsid w:val="006A42F6"/>
    <w:rsid w:val="006A5B86"/>
    <w:rsid w:val="006D0DE4"/>
    <w:rsid w:val="00740DC7"/>
    <w:rsid w:val="00747F4F"/>
    <w:rsid w:val="007A4E3B"/>
    <w:rsid w:val="007D1A5E"/>
    <w:rsid w:val="008168B7"/>
    <w:rsid w:val="008650A9"/>
    <w:rsid w:val="00897937"/>
    <w:rsid w:val="008C4D64"/>
    <w:rsid w:val="008C56DC"/>
    <w:rsid w:val="009071D1"/>
    <w:rsid w:val="00910EE0"/>
    <w:rsid w:val="009171A5"/>
    <w:rsid w:val="00922038"/>
    <w:rsid w:val="00943351"/>
    <w:rsid w:val="009516F0"/>
    <w:rsid w:val="00952962"/>
    <w:rsid w:val="00972271"/>
    <w:rsid w:val="009A167B"/>
    <w:rsid w:val="009A6634"/>
    <w:rsid w:val="009B2639"/>
    <w:rsid w:val="009E1671"/>
    <w:rsid w:val="009F4983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6DB7"/>
    <w:rsid w:val="00BB31DC"/>
    <w:rsid w:val="00BB5C09"/>
    <w:rsid w:val="00BC3641"/>
    <w:rsid w:val="00BE3B63"/>
    <w:rsid w:val="00BF4A0E"/>
    <w:rsid w:val="00C10476"/>
    <w:rsid w:val="00C24929"/>
    <w:rsid w:val="00C506E8"/>
    <w:rsid w:val="00C57430"/>
    <w:rsid w:val="00C63D2C"/>
    <w:rsid w:val="00C73225"/>
    <w:rsid w:val="00C8689A"/>
    <w:rsid w:val="00C87E2A"/>
    <w:rsid w:val="00CB4309"/>
    <w:rsid w:val="00D14656"/>
    <w:rsid w:val="00D7181E"/>
    <w:rsid w:val="00D762D3"/>
    <w:rsid w:val="00D914B8"/>
    <w:rsid w:val="00DB09C8"/>
    <w:rsid w:val="00DB61FD"/>
    <w:rsid w:val="00DD06FF"/>
    <w:rsid w:val="00DF0656"/>
    <w:rsid w:val="00E179A7"/>
    <w:rsid w:val="00E3110E"/>
    <w:rsid w:val="00E458A9"/>
    <w:rsid w:val="00E52DB8"/>
    <w:rsid w:val="00E61BDC"/>
    <w:rsid w:val="00E632CC"/>
    <w:rsid w:val="00E67345"/>
    <w:rsid w:val="00ED51C8"/>
    <w:rsid w:val="00EF5055"/>
    <w:rsid w:val="00F01B09"/>
    <w:rsid w:val="00F11DAD"/>
    <w:rsid w:val="00F17B5C"/>
    <w:rsid w:val="00F739C8"/>
    <w:rsid w:val="00F74BEC"/>
    <w:rsid w:val="00F75DCD"/>
    <w:rsid w:val="00F8131E"/>
    <w:rsid w:val="00F906D4"/>
    <w:rsid w:val="00F9597B"/>
    <w:rsid w:val="00FA4F1A"/>
    <w:rsid w:val="00FC3A84"/>
    <w:rsid w:val="00FF517D"/>
    <w:rsid w:val="3CCD3451"/>
    <w:rsid w:val="56A2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11B63"/>
  <w15:docId w15:val="{C97D91B2-FF3E-486C-806C-41EE30B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footnote reference"/>
    <w:qFormat/>
    <w:rPr>
      <w:rFonts w:ascii="Times New Roman" w:hAnsi="Times New Roman"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page number"/>
    <w:basedOn w:val="a0"/>
    <w:qFormat/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d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E2E6-7D5A-4E78-85D7-77AFF73F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1287</Words>
  <Characters>9167</Characters>
  <Application>Microsoft Office Word</Application>
  <DocSecurity>0</DocSecurity>
  <Lines>269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14</cp:revision>
  <cp:lastPrinted>2024-03-05T13:51:00Z</cp:lastPrinted>
  <dcterms:created xsi:type="dcterms:W3CDTF">2024-04-27T09:22:00Z</dcterms:created>
  <dcterms:modified xsi:type="dcterms:W3CDTF">2025-02-09T10:51:00Z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71b77d4ddb86c85eb4e8183c30a8c474b4ad165ccd54c7478d3932e0c1785f42</vt:lpwstr>
  </property>
  <property fmtid="{D5CDD505-2E9C-101B-9397-08002B2CF9AE}" pid="3" name="KSOProductBuildVer">
    <vt:lpwstr>1033-12.2.0.19821</vt:lpwstr>
  </property>
  <property fmtid="{D5CDD505-2E9C-101B-9397-08002B2CF9AE}" pid="4" name="ICV">
    <vt:lpwstr>D32824C64A3E4E498B90E8E682DE5AE3_12</vt:lpwstr>
  </property>
</Properties>
</file>