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Національний університет «Запорізька політехніка»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(назва закладу вищої освіти)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ОСВІТНЬО-НАУКОВА ПРОГРАМА 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«СИСТЕМНИЙ АНАЛІЗ»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рівень вищої освіти   </w:t>
        <w:tab/>
        <w:tab/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ab/>
        <w:t xml:space="preserve">третій (освітньо-науковий)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(назва рівня вищої освіти)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галузь знань            </w:t>
        <w:tab/>
        <w:tab/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ab/>
        <w:t xml:space="preserve">12 – Інформаційні технології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(шифр та назва галузі знань)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спеціальність          </w:t>
        <w:tab/>
        <w:tab/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ab/>
        <w:t xml:space="preserve">124 – Системний аналіз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(код і назва спеціальності)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освітня кваліфікація </w:t>
        <w:tab/>
        <w:tab/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ab/>
        <w:t xml:space="preserve">доктор філософії з системного аналізу</w:t>
        <w:tab/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28" w:firstLine="720"/>
        <w:rPr>
          <w:color w:val="000000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(назва кваліфікації)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402"/>
        <w:jc w:val="right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402"/>
        <w:jc w:val="right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8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ЗАТВЕРДЖЕНО ВЧЕНОЮ РАДОЮ</w:t>
      </w:r>
    </w:p>
    <w:p w:rsidR="00000000" w:rsidDel="00000000" w:rsidP="00000000" w:rsidRDefault="00000000" w:rsidRPr="00000000" w14:paraId="0000001C">
      <w:pPr>
        <w:ind w:left="368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Голова вченої ради</w:t>
      </w:r>
    </w:p>
    <w:p w:rsidR="00000000" w:rsidDel="00000000" w:rsidP="00000000" w:rsidRDefault="00000000" w:rsidRPr="00000000" w14:paraId="0000001E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 проф. Володимир БАХРУШИН</w:t>
      </w:r>
    </w:p>
    <w:p w:rsidR="00000000" w:rsidDel="00000000" w:rsidP="00000000" w:rsidRDefault="00000000" w:rsidRPr="00000000" w14:paraId="0000001F">
      <w:pPr>
        <w:ind w:left="36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(протокол № __ від «__» ____________________ 2022 р.)</w:t>
      </w:r>
    </w:p>
    <w:p w:rsidR="00000000" w:rsidDel="00000000" w:rsidP="00000000" w:rsidRDefault="00000000" w:rsidRPr="00000000" w14:paraId="00000021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Освітня програма вводиться в дію </w:t>
      </w:r>
    </w:p>
    <w:p w:rsidR="00000000" w:rsidDel="00000000" w:rsidP="00000000" w:rsidRDefault="00000000" w:rsidRPr="00000000" w14:paraId="00000023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 «______» _________________________ 2022 р.</w:t>
      </w:r>
    </w:p>
    <w:p w:rsidR="00000000" w:rsidDel="00000000" w:rsidP="00000000" w:rsidRDefault="00000000" w:rsidRPr="00000000" w14:paraId="00000024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Ректор НУ «Запорізька політехніка»</w:t>
      </w:r>
    </w:p>
    <w:p w:rsidR="00000000" w:rsidDel="00000000" w:rsidP="00000000" w:rsidRDefault="00000000" w:rsidRPr="00000000" w14:paraId="00000026">
      <w:pP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 проф. Віктор ГРЕШТА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(наказ № ____ від «_____» ___________ 2022 р.)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977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  <w:sectPr>
          <w:footerReference r:id="rId7" w:type="default"/>
          <w:footerReference r:id="rId8" w:type="first"/>
          <w:footerReference r:id="rId9" w:type="even"/>
          <w:pgSz w:h="16838" w:w="11906" w:orient="portrait"/>
          <w:pgMar w:bottom="1134" w:top="1134" w:left="1418" w:right="851" w:header="720" w:footer="708"/>
          <w:pgNumType w:start="1"/>
          <w:titlePg w:val="1"/>
        </w:sectPr>
      </w:pPr>
      <w:r w:rsidDel="00000000" w:rsidR="00000000" w:rsidRPr="00000000">
        <w:rPr>
          <w:sz w:val="28"/>
          <w:szCs w:val="28"/>
          <w:rtl w:val="0"/>
        </w:rPr>
        <w:t xml:space="preserve">Запоріжжя 2022 р.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ПЕРЕДМОВА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Розроблено робочою групою у складі: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Корніч Григорій Володимирович, д.ф.-м.н., професор, завідувач кафедри системного аналізу та обчислювальної математики Національного університету «Запорізька політехніка»;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Бакурова Анна Володимирівна, д.е.н., к.ф.-м.н., професор, професор кафедри системного аналізу та обчислювальної математики Національного університету «Запорізька політехніка»;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Бахрушин Володимир Євгенович, д.ф.-м.н., професор, професор кафедри системного аналізу та обчислювальної математики Національного університету «Запорізька політехніка»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Терещенко Еліна Валентинівна,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к.ф.-м.н., доцент, доцент кафедри системного аналізу та обчислювальної математики Національного університету «Запорізька політехніка»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</w:tabs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 Профіль освітньо-наукової програми «Системний аналіз» зі спеціальності 124 «Системний аналіз»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</w:tabs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7"/>
        <w:gridCol w:w="5801"/>
        <w:tblGridChange w:id="0">
          <w:tblGrid>
            <w:gridCol w:w="3697"/>
            <w:gridCol w:w="580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1-Загальна інформація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Повна назва закладу вищої освіти та структурного підрозділу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Національний університет «Запорізька політехніка»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кафедра системного аналізу та обчислювальної математики</w:t>
            </w:r>
          </w:p>
        </w:tc>
      </w:tr>
      <w:tr>
        <w:trPr>
          <w:cantSplit w:val="0"/>
          <w:trHeight w:val="72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Ступінь вищої освіти та назва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кваліфікації мовою оригіналу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Ступінь вищої освіти – доктор філософії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Кваліфікація – доктор філософії з системного аналізу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Офіційна назва освітньої програми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Системний аналіз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Тип диплому та обсяг освітньої програми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Диплом доктор філософії (PhD), 40 кредитів ЄКТС, термін навчання 4 роки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Наявність акредитації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Цикл/рівень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НРК - 8 рівень,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FQ-EHEA – третій цикл;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EQF-LLL - 8 рівень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Передумови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Наявність ступеня магістра (або освітньо-кваліфікаційний рівень спеціаліста)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Мова викладання 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245"/>
                <w:tab w:val="left" w:leader="none" w:pos="7371"/>
              </w:tabs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українська/англійська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Термін дії освітньої програми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 повного завершення періоду навчання або наступного оновлення програми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Інтернет -адреса постійного розміщення опису освітньої програми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https://zp.edu.ua/kafedra-systemnogo-analizu-ta-obchyslyuvalnoyi-matematyky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0"/>
        <w:gridCol w:w="6060"/>
        <w:tblGridChange w:id="0">
          <w:tblGrid>
            <w:gridCol w:w="3450"/>
            <w:gridCol w:w="60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2-Мета освітньої програми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Підготовка висококваліфікованих фахівців, які володіють системою концептуальних та методологічних знань та умінь у галузі системного аналізу; здатні виявляти та розв’язувати актуальні наукові задачі, проводити самостійні наукові дослідження у галузі системного аналізу та інформаційних технологій, зокрема методи інтелектуальних технологій та прийняття рішень в складних системах, для вирішення складних проблем у різних сферах діяльності; набувають універсальних навиків дослідника, достатніх для проведення та успішного завершення наукового дослідження і подальшої науково-педагогічної та професійно-наукової діяльності за фахом.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3-Характеристика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Предметна область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(галузь знань, спеціальність, 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спеціалізація за наявності)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галузь знань - 12 Інформаційні технології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спеціальність - 124 Системний аналіз</w:t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Об’єкт: найбільш передові новітні математичні методи та інформаційні технології аналізу складних систем; прогнозування та прийняття рішень в складних системах різної природи (інформаційних, економічних, фінансових, соціальних, політичних, технічних, організаційних, екологічних тощо) в умовах невизначеності на основі системної методології та на межі предметних галузей;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Теоретичний зміст предметної області: теорія керування та прийняття рішень, математичне і комп’ютерне моделювання, математична статистика, аналіз даних, дослідження операцій, оптимізація систем та процесів. Методи, методика та технології: методи математичного моделювання, аналізу даних, оптимізації та дослідження операцій, прогнозування, оцінювання ризиків, теорії керування та прийняття рішень, теорії ігор та конфліктів, експертного оцінювання, сталого розвитку та інтелектуальні технології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Інструменти та обладнання: спеціалізоване програмне забезпечення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Орієнтація освітньої програми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Освітньо-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наукова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Основний фокус освітньої програми 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Формування фахівців (доктор філософії з системного аналізу) з загальними та фаховими компетентностями, дослідницькими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навичками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для наукової кар’єри та викладання спеціальних дисциплін в галузі системного аналізу 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Ключові слова: системний аналіз, інтелектуальні технології, прийняття рішень, комп’ютерне моделювання, методи штучного інтелекту, аналіз даних, оцінювання ризиків, прогнозування.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Особливості програми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Освітньо-наукова програма (ОНП) має освітню та наукову складову. Обсяг освітньої складової становить 40 кредитів. Освітня складова реалізується упродовж семи семестрів. 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Наукова складова передбачає здійснення власних наукових досліджень з відповідним оформленням одержаних результатів у вигляді дисертаційної роботи на здобуття ступеня доктора філософії, яка є самостійним розгорнутим науковим дослідженням, що має розв’язувати значущі задачі та/або проблеми у сфері системного аналізу або на її межі з іншими спеціальностями галузі знань 12 «Інформаційні технології», що передбачає розширення та переоцінку вже існуючих знань і професійних практик.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Наукова складова визначається індивідуальним навчальним планом підготовки аспіранта. </w:t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 – Придатність випускників до працевлаштування та подальшого навчання </w:t>
            </w:r>
          </w:p>
        </w:tc>
      </w:tr>
      <w:tr>
        <w:trPr>
          <w:cantSplit w:val="0"/>
          <w:trHeight w:val="102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Придатність до працевлаштування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Назви професій згідно Національного класифікатора України: Класифікатор професій (ДК 003:2010)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2310 Викладачі університетів та вищих навчальних закладів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2310.1 Докторант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2310.1 Доцент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2433 Професіонали в галузі інформації та інформаційного аналізу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2433.1 Науковий співробітник (інформаційна аналітика)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2433.2 Аналітик консолідованої інформації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Академічні права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Після отримання наукового ступеня «доктор філософії» здобувач має право на здобуття наукового ступеня доктора наук та додаткових кваліфікацій у системі освіти дорослих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 – Викладання та оцінювання</w:t>
            </w:r>
          </w:p>
        </w:tc>
      </w:tr>
      <w:tr>
        <w:trPr>
          <w:cantSplit w:val="0"/>
          <w:trHeight w:val="10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Викладання та навчання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Підхід до викладання та навчання передбачає впровадження активних методів навчання, що забезпечують особистісно-зорієнтований підхід і розвиток мислення у здобувачів, студентоцентроване та проблемно-орієнтоване навчання, інтерактивне навчання, самонавчання, використання веб-технологій у навчальному процесі.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Вивчення дисциплін передбачає: лекції, практичні (лабораторні) заняття, індивідуальну роботу під керівництвом викладача, консультації викладачів та наукового керівника щодо виступів на конференціях, написання наукових праць, підготовки кваліфікаційної наукової роботи.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Оцінювання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Екзамени, заліки, звіт з практики, захист дисертаційної роботи на здобуття ступеня доктора філософії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 – Програмні компетентності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Інтегральна компетентність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розв’язувати комплексні проблеми в галузі інформаційних технологій, системного аналізу,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застосовувати методологію наукової та педагогічної діяльності, проводити власне наукове дослідження, результати якого мають наукову новизну, теоретичне та практичне значення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 сучасних методів системного аналізу та/або їх застосування у професійній практиці.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Загальні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компетентності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ЗК01. 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ЗК02. Здатність до пошуку, опрацювання та аналізу інформації з різних джерел.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ЗК03. Здатність виявляти, ставити та вирішувати проблеми, генерувати нові ідеї.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ЗК05. Здатність працювати в міжнародному контексті.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ЗК06. Здатність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розв’язувати комплексні проблеми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розробляти та керувати проєктами.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Спеціальні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(фахові)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компетентності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СК01. Здатність виконувати оригінальні дослідження, досягати наукових результатів, які створюють нові знання у галузі системного аналізу та дотичних міждисциплінарних напрямах і можуть бути опубліковані у провідних наукових виданнях з ІТ галузі та суміжних;</w:t>
            </w:r>
          </w:p>
          <w:p w:rsidR="00000000" w:rsidDel="00000000" w:rsidP="00000000" w:rsidRDefault="00000000" w:rsidRPr="00000000" w14:paraId="00000095">
            <w:pPr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СК02. Здатність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застосовувати сучасні інформаційні технології, бази даних та інші електронні ресурси, спеціалізоване програмне забезпечення у науковій та навчальній діяльності,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використовувати поглиблені теоретичні та фундаментальні знання в галузі системного аналізу для вирішення складних проблем;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СК03. Здатність формулювати, аналізувати та синтезувати рішення наукових проблем на абстрактному рівні шляхом їхньої декомпозиції на складові, які можна дослідити окремо в їх більш та менш важливих аспектах;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СК04. Здатність формулювати нові гіпотези та наукові задачі в області системного аналізу, вибирати належні напрями і відповідні методи для їхнього розв’язування,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аналізувати та оцінювати сучасний стан, тенденції розвитку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системному аналізі;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СК05. Здатність досліджувати інформаційні процеси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та складні системи в умовах невизначеності;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СК06. Здатність ініціювати, розробляти і реалізовувати комплексні інноваційні проєкти в ІТ галузі та дотичні до неї міждисциплінарні проєкти, проявляти лідерство під час їх реалізації;</w:t>
            </w:r>
          </w:p>
          <w:p w:rsidR="00000000" w:rsidDel="00000000" w:rsidP="00000000" w:rsidRDefault="00000000" w:rsidRPr="00000000" w14:paraId="0000009A">
            <w:pPr>
              <w:spacing w:line="23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СК07. Здатність здійснювати науково-педагогічну діяльність у вищій освіті у сфері системного аналізу.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 – Програмні результати навчання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Нормативний зміст підготовки доктора філософії, сформульований у термінах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 01.</w:t>
              <w:tab/>
              <w:t xml:space="preserve">Аналізувати переваги та недоліки існуючих методів системного аналізу, оцінювати можливості їх використання для розв’язання конкретних наукових і практичних задач. створювати нові методи  системного аналізу, при побудові моделей складних систем різної природи.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РН02. Мати передові концептуальні та методологічні знання з системного аналізу складних систем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 03.</w:t>
              <w:tab/>
              <w:t xml:space="preserve">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і математичного та/або комп’ютерного моделювання, наявні літературні дані.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РН04. 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 створення інноваційних продуктів.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РН05. Планувати і виконувати експериментальні та/або теоретичні дослідження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РН06. Застосовувати сучасні інструменти і технології пошуку, оброблення та аналізу інформації, зокрема, аналізу даних великого обсягу та/або складної структури, спеціалізовані бази даних та інформаційні системи.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РН07. Розробляти і використовувати нові методи аналізу складних систем та нові наукові методи прийняття рішень в умовах невизначеності.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РН08. Розробляти та реалізовувати наукові та/або інноваційні проєкти,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з дотриманням норм академічної етики і врахуванням соціальних, економічних, екологічних та правових аспектів.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РН09. Вільно презентувати та обговорювати з фахівцями і нефахівцями результати досліджень, наукові та прикладні проблеми системного аналізу державною та іноземною мовами, оприлюднювати результати досліджень у наукових публікаціях у провідних міжнародних наукових виданнях.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РН10.</w:t>
              <w:tab/>
              <w:t xml:space="preserve">Вивчати, узагальнювати та впроваджувати в навчальний процес інновації системного аналізу застосовувати педагогічні технології на рівні реалізації розроблених програм навчальних дисциплін та для викладання професійно-орієнтованих дисциплін в галузі системного аналізу.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 – Ресурсне забезпечення реалізації програми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Кадрове забезпечення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Гарантом освітньої програми 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професор, д.ф.-м.н. Корніч Г.В. 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Сферами наукових інтересів 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комп’ютерне моделювання та аналіз складних гетерогенних наноатомних систем з ознаками саморегуляції та оптимізації під дією зовнішніх факторів, розробка нових відповідних розрахункових підходів суперкомп’ютерного обчислювального рівня із застосуванням аналітичних та чисельних засобів, нейронних мереж, а також технології розпаралелювання.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Професор, д.е.н., к.ф.-м.н. Бакурова А.В. є керівником наукових досліджень в галузі математичного моделювання соціально-економічних, юридичних систем, процесів децентралізації, самоорганізації регіональних спільнот методами штучного інтелекту та багатокритеріальної оптимізації, результати яких оприлюднюються на міжнародних конференціях SCOPUS citation: MoMLeT, Colins, CITRisk.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Проф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есор, д.ф.-м.н.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Ба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хрушин В.Є. є відомим фахівцем з дослідження освітніх систем та освітньої статистики, є помічником-консультантом Голови підкомітету з вищої освіти Комітету Верховної Ради України з питань освіти, науки та інновацій, координатором Сектору вищої освіти Науково-методичної ради МОН України, членом Національної команди експертів з реформування вищої освіти, працював радником Міністра освіти і науки України, брав участь у виконанні низки міжнародних проєктів.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Доцент Терещенко Е.В. є кандидат фіз.-мат. наук за відповідною спеціальністю 01.05.02 – математичне моделювання та обчислювальні методи. Сферами наукових інтересів є дискретна оптимізація, задачі класифікації, дослідження систем засобами нечіткої математики. Результати досліджень оприлюднюються на міжнародних конференціях SCOPUS citation: MoMLeT, Colins, CITRisk.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Зі сторони стейкголдерів запрошено голову Правління </w:t>
            </w: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ПрАТ «ДНІПРОСПЕЦСТАЛЬ»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доктора технічних наук (05.13.22 – управління проєктами та програмами) Кійко С. 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Матеріально – технічне забезпечення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Rule="auto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2et92p0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Для виконання освітньої програми кафедра системного аналізу та обчислювальної математики має два комп’ютерні класи і лабораторію системного аналізу та обчислювальних методів.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Крім того, є можливість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проводити обчислення на базі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університетської лабораторії штучного інтелекту.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Аспіранти, які цього потребують, забезпечені гуртожитком.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Інформаційне та навчально-методичне забезпечення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Бібліотека поєднує традиційні бібліотечні фонди (841880 прим.), фонд електронних документів (54828 назв.), технологічні комплекси, що забезпечують доступ до світових інформаційних ресурсів, зокрема до ресурсів Elsevier (SCOPUS),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Web of Science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http://www.zntu.edu.ua/naukova-biblioteka ). За галуззю знань 12 Інформаційні технології бібліотечний фонд містить більше 2 тис назв видань, передплачує 9 періодичних видань.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Університет підключено до Української науково-освітньої телекомунікаційної мережі УРАН.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Офіційний веб-сайт, на якому розміщена основна інформація про діяльність університету https://zp.edu.ua.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Сторінка на офіційному веб-сайті університету англійською мовою, на якій розміщена основна інформація про діяльність https://zp.edu.ua/zaporizhzhia-polytechnic-national-university.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Розроблено навчально-методичне забезпечення.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Доступ до навчально-методичних матеріалів здійснюється через загальноуніверситетську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платформу moodle.zp.edu.ua. 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7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9- Академічна мобільність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Національна кредитна мобільність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Кафедра системного аналізу та обчислювальної математики є ініціатором та відповідальним підрозділом при виконанні договорів про співробітництво з Національним університетом “Києво-Могилянська академія", Національним університетом “Дніпровська політехніка”, Харківським національним університетом міського господарства ім. О.М. Бекетова, 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onsolas" w:cs="Consolas" w:eastAsia="Consolas" w:hAnsi="Consolas"/>
                  <w:color w:val="0000ff"/>
                  <w:sz w:val="19"/>
                  <w:szCs w:val="19"/>
                  <w:u w:val="single"/>
                  <w:shd w:fill="f9f2f4" w:val="clear"/>
                  <w:rtl w:val="0"/>
                </w:rPr>
                <w:t xml:space="preserve">http://eir.zntu.edu.ua/handle/123456789/8069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Право на національну  академічну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https://zp.edu.ua/uploads/dept_nm/Polozhennia_pro_akademichnu_mobilnist.pdf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Міжнародна кредитна мобільність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Здобувачі вищої освіти мають можливість брати участь у програмі міжнародної кредитної мобільності: навчання у закладах вищої освіти - партнерах поза межами України з метою здобуття кредитів Європейської кредитної трансферно-накопичувальної системи та відповідних компетентностей, результатів навчання, що будуть визнані в НУ “Запорізька політехніка”. При цьому загальний період навчання для таких учасників за програмами кредитної мобільності залишається незмінним.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(zntu.edu.ua/uploads/dept_nm/Polozhennia_pro_akademichnu_mobilnist.pdf), а також договорами про міжнародну кр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едитну мобільність Національного університету «Запорізька політехніка»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Навчання іноземних здобувачів вищої освіти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Університет має право здійснювати підготовку іноземних студентів. Навчання іноземних здобувачів вищої освіти р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егламентовано Положенням про організацію набору та навчання (стажування) іноземців та осіб без громадянства в Національному університеті  «Запорізька політехніка» https://zp.edu.ua/uploads/dept_inter/pol_pro_org_naboru_ta_navch_inozemtsiv.pdf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color w:val="000000"/>
          <w:sz w:val="28"/>
          <w:szCs w:val="28"/>
        </w:rPr>
        <w:sectPr>
          <w:type w:val="nextPage"/>
          <w:pgSz w:h="16838" w:w="11906" w:orient="portrait"/>
          <w:pgMar w:bottom="1134" w:top="1134" w:left="1418" w:right="851" w:header="720" w:footer="708"/>
          <w:pgNumType w:start="1"/>
          <w:titlePg w:val="1"/>
        </w:sect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 Перелік освітніх компонентів освітньо-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наукової програми </w:t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та їх логічна послідовність </w:t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2.1 Перелік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освітніх компонентів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29"/>
        <w:gridCol w:w="4111"/>
        <w:gridCol w:w="1276"/>
        <w:gridCol w:w="3111"/>
        <w:tblGridChange w:id="0">
          <w:tblGrid>
            <w:gridCol w:w="1129"/>
            <w:gridCol w:w="4111"/>
            <w:gridCol w:w="1276"/>
            <w:gridCol w:w="3111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н\д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Освітні компоненти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кредитів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Форма підсумкового контролю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ОБОВ’ЯЗКОВІ КОМПОНЕНТИ ОНП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ППН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Іноземна мова наукового спілкування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Залік, екзамен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ППН 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Філософія науки та інновацій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ППН 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Управління науковими проєктами та захист інтелектуальної власності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ППН 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Системна методологія дослідження інформаційних процесів в умовах невизначеності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ППН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Інтелектуальні методи і алгоритми прийняття рішень в умовах невизначеності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ППН 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Науково-педагогічна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диференційний залік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Разом за обов’язковою частиною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ВИБІРКОВА ЧАСТИНА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Дисципліни за вибором здобувача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Разом за вибірковою частиною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Разом за програмою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before="120" w:lineRule="auto"/>
        <w:rPr>
          <w:sz w:val="28"/>
          <w:szCs w:val="28"/>
        </w:rPr>
        <w:sectPr>
          <w:type w:val="nextPage"/>
          <w:pgSz w:h="16838" w:w="11906" w:orient="portrait"/>
          <w:pgMar w:bottom="1134" w:top="1134" w:left="1418" w:right="851" w:header="720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2.2. Структурно-логічна схема освітньої програми</w:t>
      </w:r>
    </w:p>
    <w:p w:rsidR="00000000" w:rsidDel="00000000" w:rsidP="00000000" w:rsidRDefault="00000000" w:rsidRPr="00000000" w14:paraId="000001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/>
        <w:drawing>
          <wp:inline distB="0" distT="0" distL="0" distR="0">
            <wp:extent cx="6461760" cy="8374380"/>
            <wp:effectExtent b="0" l="0" r="0" t="0"/>
            <wp:docPr id="10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837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6"/>
          <w:szCs w:val="26"/>
        </w:rPr>
        <w:sectPr>
          <w:type w:val="nextPage"/>
          <w:pgSz w:h="16838" w:w="11906" w:orient="portrait"/>
          <w:pgMar w:bottom="851" w:top="1418" w:left="1134" w:right="1134" w:header="720" w:footer="708"/>
          <w:pgNumType w:start="1"/>
          <w:titlePg w:val="1"/>
        </w:sect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Рис.1.</w:t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Форма атестації здобувачів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90.0" w:type="dxa"/>
        <w:jc w:val="left"/>
        <w:tblInd w:w="-10.0" w:type="dxa"/>
        <w:tblLayout w:type="fixed"/>
        <w:tblLook w:val="0000"/>
      </w:tblPr>
      <w:tblGrid>
        <w:gridCol w:w="2093"/>
        <w:gridCol w:w="7497"/>
        <w:tblGridChange w:id="0">
          <w:tblGrid>
            <w:gridCol w:w="2093"/>
            <w:gridCol w:w="74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Форми атестації здобувачів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Атестація здобувачів освітнього рівня доктора філософії здійснюється у формі публічного захисту дисертаційної роботи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Вимоги до кваліфікаційної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Дисертація на здобуття ступеня доктора філософії є самостійним розгорнутим дослідженням, що пропонує розв’язання актуального наукового завдання за спеціальністю 124 «Системний аналіз», результати якого характеризуються науковою новизною та практичною цінністю і оприлюднені у відповідних публікаціях Дисертаційна робота має відповідати вимогам доброчесності.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Дисертаційна робота має бути оприлюднена шляхом розміщення в репозиторії НУ “Запорізька політехніка”.</w:t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Дисертаційна робота має відповідати іншим вимогам, встановленим чинним законодавством.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  <w:sectPr>
          <w:type w:val="nextPage"/>
          <w:pgSz w:h="16838" w:w="11906" w:orient="portrait"/>
          <w:pgMar w:bottom="1134" w:top="1134" w:left="1418" w:right="851" w:header="720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Матриця відповідності програмних компетентностей та компонентів освітньо-наукової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616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"/>
        <w:gridCol w:w="2871"/>
        <w:gridCol w:w="757"/>
        <w:gridCol w:w="757"/>
        <w:gridCol w:w="757"/>
        <w:gridCol w:w="757"/>
        <w:gridCol w:w="757"/>
        <w:gridCol w:w="757"/>
        <w:gridCol w:w="804"/>
        <w:gridCol w:w="804"/>
        <w:gridCol w:w="804"/>
        <w:gridCol w:w="804"/>
        <w:gridCol w:w="804"/>
        <w:gridCol w:w="804"/>
        <w:gridCol w:w="816"/>
        <w:tblGridChange w:id="0">
          <w:tblGrid>
            <w:gridCol w:w="563"/>
            <w:gridCol w:w="2871"/>
            <w:gridCol w:w="757"/>
            <w:gridCol w:w="757"/>
            <w:gridCol w:w="757"/>
            <w:gridCol w:w="757"/>
            <w:gridCol w:w="757"/>
            <w:gridCol w:w="757"/>
            <w:gridCol w:w="804"/>
            <w:gridCol w:w="804"/>
            <w:gridCol w:w="804"/>
            <w:gridCol w:w="804"/>
            <w:gridCol w:w="804"/>
            <w:gridCol w:w="804"/>
            <w:gridCol w:w="81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Код н\д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Компоненти</w:t>
              <w:br w:type="textWrapping"/>
              <w:t xml:space="preserve">освітньо-наукової програми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Загальні компетентності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Спеціальні компетентності</w:t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ЗК01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ЗК02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ЗК03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ЗК04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ЗК05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ЗК06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СК07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Іноземна мова наукового спілкування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Філософія науки та інновацій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colFirst="0" w:colLast="0" w:name="_heading=h.tyjcwt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Управління науковими проєктами та захист інтелектуальної власності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Системна методологія дослідження інформаційних процесів в умовах невизначеності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Інтелектуальні методи і алгоритми прийняття рішень в умовах невизначеності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Науково-педагогічна 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1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Матриця забезпечення програмних результатів навчання (ПРН)</w:t>
        <w:br w:type="textWrapping"/>
        <w:t xml:space="preserve">відповідними компонентами освітньо-наукової програми</w:t>
      </w:r>
    </w:p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05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79"/>
        <w:gridCol w:w="4292"/>
        <w:gridCol w:w="854"/>
        <w:gridCol w:w="855"/>
        <w:gridCol w:w="855"/>
        <w:gridCol w:w="853"/>
        <w:gridCol w:w="853"/>
        <w:gridCol w:w="853"/>
        <w:gridCol w:w="853"/>
        <w:gridCol w:w="853"/>
        <w:gridCol w:w="853"/>
        <w:gridCol w:w="853"/>
        <w:tblGridChange w:id="0">
          <w:tblGrid>
            <w:gridCol w:w="879"/>
            <w:gridCol w:w="4292"/>
            <w:gridCol w:w="854"/>
            <w:gridCol w:w="855"/>
            <w:gridCol w:w="855"/>
            <w:gridCol w:w="853"/>
            <w:gridCol w:w="853"/>
            <w:gridCol w:w="853"/>
            <w:gridCol w:w="853"/>
            <w:gridCol w:w="853"/>
            <w:gridCol w:w="853"/>
            <w:gridCol w:w="853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Компоненти</w:t>
              <w:br w:type="textWrapping"/>
              <w:t xml:space="preserve">освітньо-наукової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Код н\д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 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 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 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РН10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Іноземна мова наукового спілкування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Філософія науки та інновацій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Управління науковими проєктами та захист інтелектуальної власності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Системна методологія дослідження інформаційних процесів в умовах невизначеності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Інтелектуальні методи і алгоритми прийняття рішень в умовах невизначеності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ППН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Науково-педагогічна 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  <w:sectPr>
          <w:footerReference r:id="rId14" w:type="default"/>
          <w:footerReference r:id="rId15" w:type="first"/>
          <w:footerReference r:id="rId16" w:type="even"/>
          <w:type w:val="nextPage"/>
          <w:pgSz w:h="11906" w:w="16838" w:orient="landscape"/>
          <w:pgMar w:bottom="1134" w:top="426" w:left="851" w:right="1418" w:header="720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17" w:type="default"/>
      <w:footerReference r:id="rId18" w:type="first"/>
      <w:footerReference r:id="rId19" w:type="even"/>
      <w:type w:val="nextPage"/>
      <w:pgSz w:h="16838" w:w="11906" w:orient="portrait"/>
      <w:pgMar w:bottom="1134" w:top="1134" w:left="1418" w:right="851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0</wp:posOffset>
              </wp:positionV>
              <wp:extent cx="100965" cy="183515"/>
              <wp:effectExtent b="0" l="0" r="0" t="0"/>
              <wp:wrapSquare wrapText="bothSides" distB="0" distT="0" distL="0" distR="0"/>
              <wp:docPr id="103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0</wp:posOffset>
              </wp:positionV>
              <wp:extent cx="100965" cy="183515"/>
              <wp:effectExtent b="0" l="0" r="0" t="0"/>
              <wp:wrapSquare wrapText="bothSides" distB="0" distT="0" distL="0" distR="0"/>
              <wp:docPr id="103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" cy="183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0</wp:posOffset>
              </wp:positionV>
              <wp:extent cx="100965" cy="183515"/>
              <wp:effectExtent b="0" l="0" r="0" t="0"/>
              <wp:wrapSquare wrapText="bothSides" distB="0" distT="0" distL="0" distR="0"/>
              <wp:docPr id="103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0</wp:posOffset>
              </wp:positionV>
              <wp:extent cx="100965" cy="183515"/>
              <wp:effectExtent b="0" l="0" r="0" t="0"/>
              <wp:wrapSquare wrapText="bothSides" distB="0" distT="0" distL="0" distR="0"/>
              <wp:docPr id="10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" cy="183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left" w:leader="none" w:pos="1134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10"/>
    <w:next w:val="10"/>
    <w:uiPriority w:val="9"/>
    <w:qFormat w:val="1"/>
    <w:pPr>
      <w:keepNext w:val="1"/>
      <w:numPr>
        <w:numId w:val="1"/>
      </w:numPr>
      <w:spacing w:after="60" w:before="240"/>
      <w:ind w:left="-1" w:hanging="1"/>
    </w:pPr>
    <w:rPr>
      <w:rFonts w:ascii="Arial" w:cs="Arial" w:hAnsi="Arial"/>
      <w:b w:val="1"/>
      <w:bCs w:val="1"/>
      <w:kern w:val="2"/>
      <w:sz w:val="32"/>
      <w:szCs w:val="32"/>
    </w:rPr>
  </w:style>
  <w:style w:type="paragraph" w:styleId="2">
    <w:name w:val="heading 2"/>
    <w:basedOn w:val="10"/>
    <w:next w:val="10"/>
    <w:uiPriority w:val="9"/>
    <w:semiHidden w:val="1"/>
    <w:unhideWhenUsed w:val="1"/>
    <w:qFormat w:val="1"/>
    <w:pPr>
      <w:pageBreakBefore w:val="1"/>
      <w:numPr>
        <w:ilvl w:val="1"/>
        <w:numId w:val="1"/>
      </w:numPr>
      <w:shd w:color="auto" w:fill="ffffff" w:val="clear"/>
      <w:tabs>
        <w:tab w:val="left" w:pos="1134"/>
      </w:tabs>
      <w:autoSpaceDE w:val="1"/>
      <w:ind w:left="0"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uiPriority w:val="9"/>
    <w:semiHidden w:val="1"/>
    <w:unhideWhenUsed w:val="1"/>
    <w:qFormat w:val="1"/>
    <w:pPr>
      <w:widowControl w:val="1"/>
      <w:numPr>
        <w:ilvl w:val="5"/>
        <w:numId w:val="1"/>
      </w:numPr>
      <w:autoSpaceDE w:val="1"/>
      <w:spacing w:after="60" w:before="240"/>
      <w:ind w:left="-1" w:hanging="1"/>
      <w:outlineLvl w:val="5"/>
    </w:pPr>
    <w:rPr>
      <w:rFonts w:ascii="Calibri" w:cs="Calibri" w:hAnsi="Calibri"/>
      <w:b w:val="1"/>
      <w:bCs w:val="1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 w:customStyle="1">
    <w:name w:val="Звичайний1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character" w:styleId="11" w:customStyle="1">
    <w:name w:val="Шрифт абзацу за замовчуванням1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12" w:customStyle="1">
    <w:name w:val="Звичайна таблиця1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hAnsi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sz w:val="28"/>
      <w:szCs w:val="28"/>
      <w:effect w:val="none"/>
      <w:vertAlign w:val="baseline"/>
      <w:cs w:val="0"/>
      <w:em w:val="none"/>
      <w:lang w:eastAsia="uk-UA" w:val="uk-UA"/>
    </w:rPr>
  </w:style>
  <w:style w:type="character" w:styleId="WW8Num5z0" w:customStyle="1">
    <w:name w:val="WW8Num5z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Times New Roman" w:cs="Times New Roman" w:hAnsi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13" w:customStyle="1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Times New Roman" w:cs="Times New Roman" w:hAnsi="Times New Roman" w:hint="default"/>
      <w:b w:val="0"/>
      <w:bCs w:val="1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styleId="WW8Num3z4" w:customStyle="1">
    <w:name w:val="WW8Num3z4"/>
    <w:rPr>
      <w:rFonts w:ascii="Arial" w:cs="Arial" w:hAnsi="Arial"/>
      <w:b w:val="1"/>
      <w:bCs w:val="1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cntsl" w:customStyle="1">
    <w:name w:val="cnt_sl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hps" w:customStyle="1">
    <w:name w:val="hps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 w:customStyle="1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20" w:customStyle="1">
    <w:name w:val="Основной текст 2 Знак"/>
    <w:rPr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 w:val="uk-UA"/>
    </w:rPr>
  </w:style>
  <w:style w:type="character" w:styleId="FontStyle41" w:customStyle="1">
    <w:name w:val="Font Style41"/>
    <w:rPr>
      <w:rFonts w:ascii="Times New Roman" w:cs="Times New Roman" w:hAnsi="Times New Roman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FontStyle47" w:customStyle="1">
    <w:name w:val="Font Style47"/>
    <w:rPr>
      <w:rFonts w:ascii="Times New Roman" w:cs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14" w:customStyle="1">
    <w:name w:val="Выделить 14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21" w:customStyle="1">
    <w:name w:val="Заголовок 2 Знак"/>
    <w:rPr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uk-UA"/>
    </w:rPr>
  </w:style>
  <w:style w:type="character" w:styleId="15" w:customStyle="1">
    <w:name w:val="Гіперпосилання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ongtext" w:customStyle="1">
    <w:name w:val="long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60" w:customStyle="1">
    <w:name w:val="Заголовок 6 Знак"/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styleId="a5" w:customStyle="1">
    <w:name w:val="Основной текст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tocnumber" w:customStyle="1">
    <w:name w:val="toc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toctext" w:customStyle="1">
    <w:name w:val="toc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 w:customStyle="1">
    <w:name w:val="Текст выноски Знак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tn" w:customStyle="1">
    <w:name w:val="atn"/>
    <w:rPr>
      <w:w w:val="100"/>
      <w:position w:val="-1"/>
      <w:effect w:val="none"/>
      <w:vertAlign w:val="baseline"/>
      <w:cs w:val="0"/>
      <w:em w:val="none"/>
    </w:rPr>
  </w:style>
  <w:style w:type="character" w:styleId="a8" w:customStyle="1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character" w:styleId="HTML" w:customStyle="1">
    <w:name w:val="Стандартный HTML Знак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a9" w:customStyle="1">
    <w:name w:val="Текст Знак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16" w:customStyle="1">
    <w:name w:val="Номер сторінки1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rvts0" w:customStyle="1">
    <w:name w:val="rvts0"/>
    <w:rPr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spelle" w:customStyle="1">
    <w:name w:val="spel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17" w:customStyle="1">
    <w:name w:val="Виділення1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30" w:customStyle="1">
    <w:name w:val="Основной текст (3)_"/>
    <w:rPr>
      <w:rFonts w:ascii="Arial" w:cs="Arial" w:hAnsi="Arial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 w:bidi="ar-SA"/>
    </w:rPr>
  </w:style>
  <w:style w:type="character" w:styleId="31" w:customStyle="1">
    <w:name w:val="Заголовок №3_"/>
    <w:rPr>
      <w:rFonts w:ascii="Arial" w:cs="Arial" w:hAnsi="Arial"/>
      <w:b w:val="1"/>
      <w:bCs w:val="1"/>
      <w:w w:val="100"/>
      <w:position w:val="-1"/>
      <w:sz w:val="27"/>
      <w:szCs w:val="27"/>
      <w:effect w:val="none"/>
      <w:shd w:color="auto" w:fill="ffffff" w:val="clear"/>
      <w:vertAlign w:val="baseline"/>
      <w:cs w:val="0"/>
      <w:em w:val="none"/>
      <w:lang w:bidi="ar-SA"/>
    </w:rPr>
  </w:style>
  <w:style w:type="character" w:styleId="50" w:customStyle="1">
    <w:name w:val="Основной текст (5)_"/>
    <w:rPr>
      <w:rFonts w:ascii="Arial" w:cs="Arial" w:hAnsi="Arial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 w:bidi="ar-SA"/>
    </w:rPr>
  </w:style>
  <w:style w:type="character" w:styleId="18" w:customStyle="1">
    <w:name w:val="Знак Знак1"/>
    <w:rPr>
      <w:w w:val="100"/>
      <w:position w:val="-1"/>
      <w:effect w:val="none"/>
      <w:vertAlign w:val="baseline"/>
      <w:cs w:val="0"/>
      <w:em w:val="none"/>
      <w:lang w:bidi="ar-SA" w:val="ru-RU"/>
    </w:rPr>
  </w:style>
  <w:style w:type="character" w:styleId="7" w:customStyle="1">
    <w:name w:val="Основной текст (7)_"/>
    <w:rPr>
      <w:rFonts w:ascii="Arial" w:cs="Arial" w:hAnsi="Arial"/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 w:bidi="ar-SA"/>
    </w:rPr>
  </w:style>
  <w:style w:type="character" w:styleId="70" w:customStyle="1">
    <w:name w:val="Основной текст (7) + Не полужирный"/>
    <w:rPr>
      <w:rFonts w:ascii="Arial" w:cs="Arial" w:hAnsi="Arial"/>
      <w:b w:val="0"/>
      <w:bCs w:val="0"/>
      <w:i w:val="0"/>
      <w:iCs w:val="0"/>
      <w:w w:val="100"/>
      <w:position w:val="-1"/>
      <w:effect w:val="none"/>
      <w:shd w:color="auto" w:fill="ffffff" w:val="clear"/>
      <w:vertAlign w:val="baseline"/>
      <w:cs w:val="0"/>
      <w:em w:val="none"/>
    </w:rPr>
  </w:style>
  <w:style w:type="character" w:styleId="aa" w:customStyle="1">
    <w:name w:val="Основной текст + Полужирный"/>
    <w:rPr>
      <w:rFonts w:ascii="Arial" w:cs="Arial" w:hAnsi="Arial"/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</w:rPr>
  </w:style>
  <w:style w:type="character" w:styleId="40" w:customStyle="1">
    <w:name w:val="Заголовок №4_"/>
    <w:rPr>
      <w:rFonts w:ascii="Arial" w:cs="Arial" w:hAnsi="Arial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 w:bidi="ar-SA"/>
    </w:rPr>
  </w:style>
  <w:style w:type="character" w:styleId="8" w:customStyle="1">
    <w:name w:val="Основной текст (8)_"/>
    <w:rPr>
      <w:rFonts w:ascii="Arial" w:cs="Arial" w:hAnsi="Arial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  <w:lang w:bidi="ar-SA"/>
    </w:rPr>
  </w:style>
  <w:style w:type="character" w:styleId="80" w:customStyle="1">
    <w:name w:val="Основной текст (8) + Курсив"/>
    <w:rPr>
      <w:rFonts w:ascii="Arial" w:cs="Arial" w:hAnsi="Arial"/>
      <w:i w:val="1"/>
      <w:iCs w:val="1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</w:rPr>
  </w:style>
  <w:style w:type="character" w:styleId="82" w:customStyle="1">
    <w:name w:val="Основной текст (8) + Курсив2"/>
    <w:rPr>
      <w:rFonts w:ascii="Arial" w:cs="Arial" w:hAnsi="Arial"/>
      <w:i w:val="1"/>
      <w:iCs w:val="1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</w:rPr>
  </w:style>
  <w:style w:type="character" w:styleId="81" w:customStyle="1">
    <w:name w:val="Основной текст (8) + Курсив1"/>
    <w:rPr>
      <w:rFonts w:ascii="Arial" w:cs="Arial" w:hAnsi="Arial"/>
      <w:i w:val="1"/>
      <w:iCs w:val="1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</w:rPr>
  </w:style>
  <w:style w:type="character" w:styleId="42" w:customStyle="1">
    <w:name w:val="Заголовок №42"/>
    <w:rPr>
      <w:rFonts w:ascii="Arial" w:cs="Arial" w:hAnsi="Arial"/>
      <w:b w:val="1"/>
      <w:bCs w:val="1"/>
      <w:w w:val="100"/>
      <w:position w:val="-1"/>
      <w:sz w:val="22"/>
      <w:szCs w:val="22"/>
      <w:effect w:val="none"/>
      <w:shd w:color="auto" w:fill="ffffff" w:val="clear"/>
      <w:vertAlign w:val="baseline"/>
      <w:cs w:val="0"/>
      <w:em w:val="none"/>
    </w:rPr>
  </w:style>
  <w:style w:type="character" w:styleId="22" w:customStyle="1">
    <w:name w:val="Основной текст + Полужирный2"/>
    <w:rPr>
      <w:rFonts w:ascii="Times New Roman" w:cs="Arial" w:hAnsi="Times New Roman"/>
      <w:b w:val="1"/>
      <w:bCs w:val="1"/>
      <w:w w:val="100"/>
      <w:position w:val="-1"/>
      <w:sz w:val="27"/>
      <w:szCs w:val="27"/>
      <w:effect w:val="none"/>
      <w:shd w:color="auto" w:fill="ffffff" w:val="clear"/>
      <w:vertAlign w:val="baseline"/>
      <w:cs w:val="0"/>
      <w:em w:val="none"/>
    </w:rPr>
  </w:style>
  <w:style w:type="character" w:styleId="19" w:customStyle="1">
    <w:name w:val="Переглянуте гіперпосилання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b" w:customStyle="1">
    <w:name w:val="Знак Знак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rvts23" w:customStyle="1">
    <w:name w:val="rvts23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rvts9" w:customStyle="1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163LucidaSansUnicode10" w:customStyle="1">
    <w:name w:val="Основной текст (163) + Lucida Sans Unicode10"/>
    <w:rPr>
      <w:rFonts w:ascii="Lucida Sans Unicode" w:cs="Lucida Sans Unicode" w:hAnsi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styleId="163LucidaSansUnicode9" w:customStyle="1">
    <w:name w:val="Основной текст (163) + Lucida Sans Unicode9"/>
    <w:rPr>
      <w:rFonts w:ascii="Lucida Sans Unicode" w:cs="Lucida Sans Unicode" w:hAnsi="Lucida Sans Unicode" w:hint="default"/>
      <w:i w:val="1"/>
      <w:iCs w:val="1"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styleId="rvts64" w:customStyle="1">
    <w:name w:val="rvts64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dat0" w:customStyle="1">
    <w:name w:val="dat0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10"/>
    <w:next w:val="1a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1a" w:customStyle="1">
    <w:name w:val="Основний текст1"/>
    <w:basedOn w:val="10"/>
    <w:pPr>
      <w:spacing w:after="120"/>
    </w:pPr>
  </w:style>
  <w:style w:type="paragraph" w:styleId="ac">
    <w:name w:val="List"/>
    <w:basedOn w:val="1a"/>
  </w:style>
  <w:style w:type="paragraph" w:styleId="1b" w:customStyle="1">
    <w:name w:val="Назва об'єкта1"/>
    <w:basedOn w:val="10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10"/>
    <w:pPr>
      <w:suppressLineNumbers w:val="1"/>
    </w:pPr>
  </w:style>
  <w:style w:type="paragraph" w:styleId="1c" w:customStyle="1">
    <w:name w:val="Назва об'єкта1"/>
    <w:basedOn w:val="10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HeaderandFooter" w:customStyle="1">
    <w:name w:val="Header and Footer"/>
    <w:basedOn w:val="10"/>
    <w:pPr>
      <w:suppressLineNumbers w:val="1"/>
      <w:tabs>
        <w:tab w:val="center" w:pos="4819"/>
        <w:tab w:val="right" w:pos="9638"/>
      </w:tabs>
    </w:pPr>
  </w:style>
  <w:style w:type="paragraph" w:styleId="1d" w:customStyle="1">
    <w:name w:val="Верхній колонтитул1"/>
    <w:basedOn w:val="10"/>
    <w:pPr>
      <w:tabs>
        <w:tab w:val="center" w:pos="4677"/>
        <w:tab w:val="right" w:pos="9355"/>
      </w:tabs>
    </w:pPr>
  </w:style>
  <w:style w:type="paragraph" w:styleId="1e" w:customStyle="1">
    <w:name w:val="Нижній колонтитул1"/>
    <w:basedOn w:val="10"/>
    <w:pPr>
      <w:tabs>
        <w:tab w:val="center" w:pos="4677"/>
        <w:tab w:val="right" w:pos="9355"/>
      </w:tabs>
    </w:pPr>
  </w:style>
  <w:style w:type="paragraph" w:styleId="23">
    <w:name w:val="Body Text 2"/>
    <w:basedOn w:val="10"/>
    <w:pPr>
      <w:shd w:color="auto" w:fill="ffffff" w:val="clear"/>
      <w:tabs>
        <w:tab w:val="left" w:pos="1134"/>
      </w:tabs>
      <w:autoSpaceDE w:val="1"/>
      <w:spacing w:after="120" w:line="480" w:lineRule="auto"/>
      <w:ind w:left="0" w:firstLine="709"/>
      <w:jc w:val="both"/>
    </w:pPr>
    <w:rPr>
      <w:sz w:val="28"/>
      <w:szCs w:val="28"/>
    </w:rPr>
  </w:style>
  <w:style w:type="paragraph" w:styleId="ad">
    <w:name w:val="List Paragraph"/>
    <w:basedOn w:val="10"/>
    <w:uiPriority w:val="34"/>
    <w:qFormat w:val="1"/>
    <w:pPr>
      <w:widowControl w:val="1"/>
      <w:autoSpaceDE w:val="1"/>
      <w:spacing w:after="200" w:line="276" w:lineRule="auto"/>
      <w:ind w:left="720" w:firstLine="0"/>
      <w:contextualSpacing w:val="1"/>
    </w:pPr>
    <w:rPr>
      <w:rFonts w:ascii="Calibri" w:eastAsia="Calibri" w:hAnsi="Calibri"/>
      <w:sz w:val="22"/>
      <w:szCs w:val="22"/>
    </w:rPr>
  </w:style>
  <w:style w:type="paragraph" w:styleId="210" w:customStyle="1">
    <w:name w:val="Зміст 21"/>
    <w:basedOn w:val="10"/>
    <w:next w:val="10"/>
    <w:pPr>
      <w:shd w:color="auto" w:fill="ffffff" w:val="clear"/>
      <w:autoSpaceDE w:val="1"/>
      <w:spacing w:line="288" w:lineRule="auto"/>
      <w:ind w:left="0" w:firstLine="709"/>
      <w:jc w:val="both"/>
    </w:pPr>
    <w:rPr>
      <w:sz w:val="28"/>
      <w:szCs w:val="28"/>
    </w:rPr>
  </w:style>
  <w:style w:type="paragraph" w:styleId="Default" w:customStyle="1">
    <w:name w:val="Default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Iauiue" w:customStyle="1">
    <w:name w:val="Iau?iue"/>
    <w:pPr>
      <w:overflowPunct w:val="0"/>
      <w:autoSpaceDE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zh-CN"/>
    </w:rPr>
  </w:style>
  <w:style w:type="paragraph" w:styleId="32">
    <w:name w:val="Body Text Indent 3"/>
    <w:basedOn w:val="10"/>
    <w:pPr>
      <w:widowControl w:val="1"/>
      <w:tabs>
        <w:tab w:val="left" w:pos="2694"/>
      </w:tabs>
      <w:autoSpaceDE w:val="1"/>
      <w:ind w:left="0" w:firstLine="709"/>
      <w:jc w:val="both"/>
    </w:pPr>
    <w:rPr>
      <w:sz w:val="24"/>
    </w:rPr>
  </w:style>
  <w:style w:type="paragraph" w:styleId="ae">
    <w:name w:val="Balloon Text"/>
    <w:basedOn w:val="10"/>
    <w:rPr>
      <w:rFonts w:ascii="Tahoma" w:cs="Tahoma" w:hAnsi="Tahoma"/>
      <w:sz w:val="16"/>
      <w:szCs w:val="16"/>
    </w:rPr>
  </w:style>
  <w:style w:type="paragraph" w:styleId="HTML0">
    <w:name w:val="HTML Preformatted"/>
    <w:basedOn w:val="1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</w:pPr>
    <w:rPr>
      <w:rFonts w:ascii="Courier New" w:cs="Courier New" w:hAnsi="Courier New"/>
    </w:rPr>
  </w:style>
  <w:style w:type="paragraph" w:styleId="1f" w:customStyle="1">
    <w:name w:val="Текст1"/>
    <w:basedOn w:val="10"/>
    <w:pPr>
      <w:widowControl w:val="1"/>
      <w:autoSpaceDE w:val="1"/>
    </w:pPr>
    <w:rPr>
      <w:rFonts w:ascii="Courier New" w:cs="Courier New" w:hAnsi="Courier New"/>
    </w:rPr>
  </w:style>
  <w:style w:type="paragraph" w:styleId="af" w:customStyle="1">
    <w:name w:val="Îáû÷íûé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af0" w:customStyle="1">
    <w:name w:val="Нормальний текст"/>
    <w:basedOn w:val="10"/>
    <w:pPr>
      <w:widowControl w:val="1"/>
      <w:autoSpaceDE w:val="1"/>
      <w:spacing w:before="120"/>
      <w:ind w:left="0" w:firstLine="567"/>
      <w:jc w:val="both"/>
    </w:pPr>
    <w:rPr>
      <w:rFonts w:ascii="Antiqua" w:cs="Antiqua" w:hAnsi="Antiqua"/>
      <w:sz w:val="26"/>
    </w:rPr>
  </w:style>
  <w:style w:type="paragraph" w:styleId="af1" w:customStyle="1">
    <w:name w:val="Обычный с отступом"/>
    <w:basedOn w:val="10"/>
    <w:pPr>
      <w:widowControl w:val="1"/>
      <w:autoSpaceDE w:val="1"/>
      <w:spacing w:before="120"/>
      <w:ind w:left="0" w:firstLine="720"/>
      <w:jc w:val="both"/>
    </w:pPr>
    <w:rPr>
      <w:i w:val="1"/>
      <w:sz w:val="28"/>
      <w:szCs w:val="28"/>
    </w:rPr>
  </w:style>
  <w:style w:type="paragraph" w:styleId="1f0" w:customStyle="1">
    <w:name w:val="Абзац списку1"/>
    <w:basedOn w:val="10"/>
    <w:pPr>
      <w:widowControl w:val="1"/>
      <w:autoSpaceDE w:val="1"/>
      <w:spacing w:after="200" w:line="276" w:lineRule="auto"/>
      <w:ind w:left="720" w:firstLine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1f1" w:customStyle="1">
    <w:name w:val="Абзац списка1"/>
    <w:basedOn w:val="10"/>
    <w:pPr>
      <w:widowControl w:val="1"/>
      <w:autoSpaceDE w:val="1"/>
      <w:spacing w:after="200" w:line="276" w:lineRule="auto"/>
      <w:ind w:left="720" w:firstLine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a20" w:customStyle="1">
    <w:name w:val="a2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a30" w:customStyle="1">
    <w:name w:val="a3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a40" w:customStyle="1">
    <w:name w:val="a4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a50" w:customStyle="1">
    <w:name w:val="a5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310" w:customStyle="1">
    <w:name w:val="Основной текст (3)1"/>
    <w:basedOn w:val="10"/>
    <w:pPr>
      <w:widowControl w:val="1"/>
      <w:shd w:color="auto" w:fill="ffffff" w:val="clear"/>
      <w:autoSpaceDE w:val="1"/>
      <w:spacing w:before="4560" w:line="276" w:lineRule="atLeast"/>
      <w:ind w:left="0" w:hanging="800"/>
    </w:pPr>
    <w:rPr>
      <w:rFonts w:ascii="Arial" w:cs="Arial" w:hAnsi="Arial"/>
      <w:b w:val="1"/>
      <w:bCs w:val="1"/>
      <w:shd w:color="auto" w:fill="ffffff" w:val="clear"/>
    </w:rPr>
  </w:style>
  <w:style w:type="paragraph" w:styleId="33" w:customStyle="1">
    <w:name w:val="Заголовок №3"/>
    <w:basedOn w:val="10"/>
    <w:pPr>
      <w:widowControl w:val="1"/>
      <w:shd w:color="auto" w:fill="ffffff" w:val="clear"/>
      <w:autoSpaceDE w:val="1"/>
      <w:spacing w:after="360" w:line="240" w:lineRule="atLeast"/>
    </w:pPr>
    <w:rPr>
      <w:rFonts w:ascii="Arial" w:cs="Arial" w:hAnsi="Arial"/>
      <w:b w:val="1"/>
      <w:bCs w:val="1"/>
      <w:sz w:val="27"/>
      <w:szCs w:val="27"/>
      <w:shd w:color="auto" w:fill="ffffff" w:val="clear"/>
    </w:rPr>
  </w:style>
  <w:style w:type="paragraph" w:styleId="51" w:customStyle="1">
    <w:name w:val="Основной текст (5)"/>
    <w:basedOn w:val="10"/>
    <w:pPr>
      <w:widowControl w:val="1"/>
      <w:shd w:color="auto" w:fill="ffffff" w:val="clear"/>
      <w:autoSpaceDE w:val="1"/>
      <w:spacing w:line="240" w:lineRule="atLeast"/>
    </w:pPr>
    <w:rPr>
      <w:rFonts w:ascii="Arial" w:cs="Arial" w:hAnsi="Arial"/>
      <w:b w:val="1"/>
      <w:bCs w:val="1"/>
      <w:shd w:color="auto" w:fill="ffffff" w:val="clear"/>
    </w:rPr>
  </w:style>
  <w:style w:type="paragraph" w:styleId="71" w:customStyle="1">
    <w:name w:val="Основной текст (7)"/>
    <w:basedOn w:val="10"/>
    <w:pPr>
      <w:widowControl w:val="1"/>
      <w:shd w:color="auto" w:fill="ffffff" w:val="clear"/>
      <w:autoSpaceDE w:val="1"/>
      <w:spacing w:before="240" w:line="274" w:lineRule="atLeast"/>
      <w:jc w:val="both"/>
    </w:pPr>
    <w:rPr>
      <w:rFonts w:ascii="Arial" w:cs="Arial" w:hAnsi="Arial"/>
      <w:b w:val="1"/>
      <w:bCs w:val="1"/>
      <w:i w:val="1"/>
      <w:iCs w:val="1"/>
      <w:shd w:color="auto" w:fill="ffffff" w:val="clear"/>
    </w:rPr>
  </w:style>
  <w:style w:type="paragraph" w:styleId="41" w:customStyle="1">
    <w:name w:val="Заголовок №41"/>
    <w:basedOn w:val="10"/>
    <w:pPr>
      <w:widowControl w:val="1"/>
      <w:shd w:color="auto" w:fill="ffffff" w:val="clear"/>
      <w:autoSpaceDE w:val="1"/>
      <w:spacing w:after="300" w:line="240" w:lineRule="atLeast"/>
    </w:pPr>
    <w:rPr>
      <w:rFonts w:ascii="Arial" w:cs="Arial" w:hAnsi="Arial"/>
      <w:b w:val="1"/>
      <w:bCs w:val="1"/>
      <w:shd w:color="auto" w:fill="ffffff" w:val="clear"/>
    </w:rPr>
  </w:style>
  <w:style w:type="paragraph" w:styleId="83" w:customStyle="1">
    <w:name w:val="Основной текст (8)"/>
    <w:basedOn w:val="10"/>
    <w:pPr>
      <w:widowControl w:val="1"/>
      <w:shd w:color="auto" w:fill="ffffff" w:val="clear"/>
      <w:autoSpaceDE w:val="1"/>
      <w:spacing w:before="240" w:line="226" w:lineRule="atLeast"/>
      <w:ind w:left="0" w:firstLine="560"/>
      <w:jc w:val="both"/>
    </w:pPr>
    <w:rPr>
      <w:rFonts w:ascii="Arial" w:cs="Arial" w:hAnsi="Arial"/>
      <w:sz w:val="19"/>
      <w:szCs w:val="19"/>
      <w:shd w:color="auto" w:fill="ffffff" w:val="clear"/>
    </w:rPr>
  </w:style>
  <w:style w:type="paragraph" w:styleId="1f2" w:customStyle="1">
    <w:name w:val="Обычный (веб)1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rvps17" w:customStyle="1">
    <w:name w:val="rvps17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rvps7" w:customStyle="1">
    <w:name w:val="rvps7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rvps6" w:customStyle="1">
    <w:name w:val="rvps6"/>
    <w:basedOn w:val="10"/>
    <w:pPr>
      <w:widowControl w:val="1"/>
      <w:autoSpaceDE w:val="1"/>
      <w:spacing w:after="100" w:before="100"/>
    </w:pPr>
    <w:rPr>
      <w:sz w:val="24"/>
      <w:szCs w:val="24"/>
    </w:rPr>
  </w:style>
  <w:style w:type="paragraph" w:styleId="TableContents" w:customStyle="1">
    <w:name w:val="Table Contents"/>
    <w:basedOn w:val="10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FrameContents" w:customStyle="1">
    <w:name w:val="Frame Contents"/>
    <w:basedOn w:val="10"/>
  </w:style>
  <w:style w:type="character" w:styleId="1f3" w:customStyle="1">
    <w:name w:val="Незакрита згадка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af2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d">
    <w:name w:val="annotation text"/>
    <w:basedOn w:val="a"/>
    <w:link w:val="afe"/>
    <w:uiPriority w:val="99"/>
    <w:semiHidden w:val="1"/>
    <w:unhideWhenUsed w:val="1"/>
  </w:style>
  <w:style w:type="character" w:styleId="afe" w:customStyle="1">
    <w:name w:val="Текст примечания Знак"/>
    <w:basedOn w:val="a0"/>
    <w:link w:val="afd"/>
    <w:uiPriority w:val="99"/>
    <w:semiHidden w:val="1"/>
  </w:style>
  <w:style w:type="character" w:styleId="aff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f0">
    <w:name w:val="Normal (Web)"/>
    <w:basedOn w:val="a"/>
    <w:uiPriority w:val="99"/>
    <w:semiHidden w:val="1"/>
    <w:unhideWhenUsed w:val="1"/>
    <w:rsid w:val="00AF2DE6"/>
    <w:pPr>
      <w:spacing w:after="100" w:afterAutospacing="1" w:before="100" w:beforeAutospacing="1"/>
    </w:pPr>
    <w:rPr>
      <w:sz w:val="24"/>
      <w:szCs w:val="24"/>
      <w:lang w:val="en-GB"/>
    </w:rPr>
  </w:style>
  <w:style w:type="paragraph" w:styleId="aff1">
    <w:name w:val="annotation subject"/>
    <w:basedOn w:val="afd"/>
    <w:next w:val="afd"/>
    <w:link w:val="aff2"/>
    <w:uiPriority w:val="99"/>
    <w:semiHidden w:val="1"/>
    <w:unhideWhenUsed w:val="1"/>
    <w:rsid w:val="00C0233A"/>
    <w:rPr>
      <w:b w:val="1"/>
      <w:bCs w:val="1"/>
    </w:rPr>
  </w:style>
  <w:style w:type="character" w:styleId="aff2" w:customStyle="1">
    <w:name w:val="Тема примечания Знак"/>
    <w:basedOn w:val="afe"/>
    <w:link w:val="aff1"/>
    <w:uiPriority w:val="99"/>
    <w:semiHidden w:val="1"/>
    <w:rsid w:val="00C0233A"/>
    <w:rPr>
      <w:b w:val="1"/>
      <w:bCs w:val="1"/>
    </w:rPr>
  </w:style>
  <w:style w:type="character" w:styleId="aff3">
    <w:name w:val="Hyperlink"/>
    <w:basedOn w:val="a0"/>
    <w:uiPriority w:val="99"/>
    <w:unhideWhenUsed w:val="1"/>
    <w:rsid w:val="009C2143"/>
    <w:rPr>
      <w:color w:val="0000ff" w:themeColor="hyperlink"/>
      <w:u w:val="single"/>
    </w:rPr>
  </w:style>
  <w:style w:type="character" w:styleId="24" w:customStyle="1">
    <w:name w:val="Незакрита згадка2"/>
    <w:basedOn w:val="a0"/>
    <w:uiPriority w:val="99"/>
    <w:semiHidden w:val="1"/>
    <w:unhideWhenUsed w:val="1"/>
    <w:rsid w:val="009C2143"/>
    <w:rPr>
      <w:color w:val="605e5c"/>
      <w:shd w:color="auto" w:fill="e1dfdd" w:val="clear"/>
    </w:rPr>
  </w:style>
  <w:style w:type="table" w:styleId="aff4">
    <w:name w:val="Table Grid"/>
    <w:basedOn w:val="a1"/>
    <w:uiPriority w:val="39"/>
    <w:rsid w:val="00690665"/>
    <w:rPr>
      <w:rFonts w:asciiTheme="minorHAnsi" w:cstheme="minorBidi" w:eastAsiaTheme="minorHAnsi" w:hAnsiTheme="minorHAnsi"/>
      <w:sz w:val="22"/>
      <w:szCs w:val="22"/>
      <w:lang w:eastAsia="en-US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5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character" w:styleId="afff3">
    <w:name w:val="FollowedHyperlink"/>
    <w:basedOn w:val="a0"/>
    <w:uiPriority w:val="99"/>
    <w:semiHidden w:val="1"/>
    <w:unhideWhenUsed w:val="1"/>
    <w:rsid w:val="00A253C9"/>
    <w:rPr>
      <w:color w:val="800080" w:themeColor="followedHyperlink"/>
      <w:u w:val="single"/>
    </w:rPr>
  </w:style>
  <w:style w:type="character" w:styleId="afff4">
    <w:name w:val="Unresolved Mention"/>
    <w:basedOn w:val="a0"/>
    <w:uiPriority w:val="99"/>
    <w:semiHidden w:val="1"/>
    <w:unhideWhenUsed w:val="1"/>
    <w:rsid w:val="00CD3C8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ir.zntu.edu.ua/handle/123456789/8069" TargetMode="External"/><Relationship Id="rId10" Type="http://schemas.openxmlformats.org/officeDocument/2006/relationships/hyperlink" Target="about:blank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zp.edu.ua/uploads/dept_nm/Polozhennia_pro_akademichnu_mobilnist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footer" Target="footer5.xml"/><Relationship Id="rId14" Type="http://schemas.openxmlformats.org/officeDocument/2006/relationships/footer" Target="footer6.xml"/><Relationship Id="rId17" Type="http://schemas.openxmlformats.org/officeDocument/2006/relationships/footer" Target="footer7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19" Type="http://schemas.openxmlformats.org/officeDocument/2006/relationships/footer" Target="footer8.xml"/><Relationship Id="rId6" Type="http://schemas.openxmlformats.org/officeDocument/2006/relationships/customXml" Target="../customXML/item1.xml"/><Relationship Id="rId18" Type="http://schemas.openxmlformats.org/officeDocument/2006/relationships/footer" Target="footer9.xml"/><Relationship Id="rId7" Type="http://schemas.openxmlformats.org/officeDocument/2006/relationships/footer" Target="footer1.xml"/><Relationship Id="rId8" Type="http://schemas.openxmlformats.org/officeDocument/2006/relationships/footer" Target="footer4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wAcxhZZg1v4e69OVJ5yVUhFLg==">CgMxLjAyCWguMmV0OTJwMDIJaC4xZm9iOXRlMghoLnR5amN3dDgAciExb3BJaUNmaTk5dUp3THYxQUVYZzc1b3M5WFJ0YXNYVUI=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2022-09-23T14:58:00Z</dcterms:created>
  <dc:creator>-=xXx=-</dc:creator>
</cp:coreProperties>
</file>