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855" w:rsidRPr="00FD0349" w:rsidRDefault="00C35855" w:rsidP="00C35855">
      <w:pPr>
        <w:tabs>
          <w:tab w:val="left" w:leader="underscore" w:pos="7046"/>
        </w:tabs>
        <w:jc w:val="center"/>
        <w:rPr>
          <w:u w:val="single"/>
          <w:lang w:val="uk-UA"/>
        </w:rPr>
      </w:pPr>
      <w:r w:rsidRPr="00FD0349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Кафедра Облік і оподаткування</w:t>
      </w:r>
      <w:r w:rsidRPr="00FD0349">
        <w:rPr>
          <w:u w:val="single"/>
          <w:lang w:val="uk-UA"/>
        </w:rPr>
        <w:t xml:space="preserve"> </w:t>
      </w:r>
    </w:p>
    <w:p w:rsidR="00C35855" w:rsidRPr="00595B24" w:rsidRDefault="00C35855" w:rsidP="00C35855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кафедри)</w:t>
      </w: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C35855" w:rsidRPr="00CE5DB6" w:rsidRDefault="00C35855" w:rsidP="00C3585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E5DB6">
        <w:rPr>
          <w:rFonts w:ascii="Times New Roman" w:hAnsi="Times New Roman" w:cs="Times New Roman"/>
          <w:sz w:val="28"/>
          <w:szCs w:val="28"/>
          <w:u w:val="single"/>
          <w:lang w:val="uk-UA"/>
        </w:rPr>
        <w:t>ППВ 0</w:t>
      </w:r>
      <w:r w:rsidRPr="00264E3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5D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CE5DB6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Податков</w:t>
      </w:r>
      <w:r w:rsidR="007648F5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CE5DB6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648F5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політика</w:t>
      </w:r>
      <w:r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C35855" w:rsidRPr="00997B93" w:rsidRDefault="00C35855" w:rsidP="00C35855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(назва навчальної дисципліни)</w:t>
      </w:r>
    </w:p>
    <w:p w:rsidR="00C35855" w:rsidRPr="00997B93" w:rsidRDefault="00C35855" w:rsidP="00C35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35855" w:rsidRPr="00595B24" w:rsidRDefault="00C35855" w:rsidP="00C35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 програма: Облік і аудит</w:t>
      </w:r>
    </w:p>
    <w:p w:rsidR="00C35855" w:rsidRPr="00997B93" w:rsidRDefault="00C35855" w:rsidP="00C35855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(назва освітньої програми)</w:t>
      </w:r>
    </w:p>
    <w:p w:rsidR="00C35855" w:rsidRPr="002B0109" w:rsidRDefault="00C35855" w:rsidP="00C3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855" w:rsidRPr="00595B24" w:rsidRDefault="00C35855" w:rsidP="00C358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Спеціальність: 071 «Облік і оподаткування»</w:t>
      </w:r>
    </w:p>
    <w:p w:rsidR="00C35855" w:rsidRPr="00997B93" w:rsidRDefault="00C35855" w:rsidP="00C3585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(найменування спеціальності)</w:t>
      </w:r>
    </w:p>
    <w:p w:rsidR="00C35855" w:rsidRDefault="00C35855" w:rsidP="00C3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Pr="007E2C35" w:rsidRDefault="00C35855" w:rsidP="00C358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C35855" w:rsidRPr="00997B93" w:rsidRDefault="00C35855" w:rsidP="00C3585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C35855" w:rsidRPr="00997B93" w:rsidRDefault="00C35855" w:rsidP="00C35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35855" w:rsidRPr="007E2C35" w:rsidRDefault="00C35855" w:rsidP="00C35855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Ступінь вищої освіти: </w:t>
      </w:r>
      <w:r w:rsidRPr="007E2C3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рівень</w:t>
      </w:r>
    </w:p>
    <w:p w:rsidR="00C35855" w:rsidRPr="00997B93" w:rsidRDefault="00C35855" w:rsidP="00C3585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(назва ступеня вищої освіти)</w:t>
      </w:r>
    </w:p>
    <w:p w:rsidR="00C35855" w:rsidRPr="00997B93" w:rsidRDefault="00C35855" w:rsidP="00C35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6ACA" w:rsidTr="00806ACA">
        <w:tc>
          <w:tcPr>
            <w:tcW w:w="4785" w:type="dxa"/>
          </w:tcPr>
          <w:p w:rsidR="00806ACA" w:rsidRDefault="00806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06ACA" w:rsidRDefault="00806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6ACA" w:rsidRDefault="00806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806ACA" w:rsidRDefault="00806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6ACA" w:rsidRDefault="00806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806ACA" w:rsidRDefault="00806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6ACA" w:rsidRDefault="00806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C35855" w:rsidRPr="00806ACA" w:rsidRDefault="00C35855" w:rsidP="00C35855">
      <w:pPr>
        <w:rPr>
          <w:rFonts w:ascii="Times New Roman" w:hAnsi="Times New Roman" w:cs="Times New Roman"/>
          <w:sz w:val="24"/>
          <w:szCs w:val="24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35855" w:rsidRPr="001F1E5B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E5B"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F1E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934"/>
      </w:tblGrid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C35855" w:rsidRPr="00595B24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934" w:type="dxa"/>
          </w:tcPr>
          <w:p w:rsidR="00C35855" w:rsidRPr="00ED219D" w:rsidRDefault="00C35855" w:rsidP="00C35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ППВ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648F5" w:rsidRPr="007648F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="007648F5" w:rsidRPr="007648F5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Податкова політика»</w:t>
            </w:r>
            <w:r w:rsidR="007648F5"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DB6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вибіркова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934" w:type="dxa"/>
          </w:tcPr>
          <w:p w:rsidR="00C35855" w:rsidRPr="00EB1606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 кафедри «Облік і оподаткування»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C35855" w:rsidRPr="008D23D4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120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кредитів, розподіл годин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30 год.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14 годин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практичні,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76 годин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іспит</w:t>
            </w:r>
          </w:p>
        </w:tc>
      </w:tr>
      <w:tr w:rsidR="00C35855" w:rsidRPr="008D23D4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C35855" w:rsidRPr="008D23D4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C35855" w:rsidRPr="00526D07" w:rsidTr="00C35855">
        <w:tc>
          <w:tcPr>
            <w:tcW w:w="9463" w:type="dxa"/>
            <w:gridSpan w:val="2"/>
          </w:tcPr>
          <w:p w:rsidR="00C35855" w:rsidRPr="00594496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Міждисциплінарні зв’язки: дисципліна </w:t>
            </w:r>
            <w:r w:rsidR="007648F5" w:rsidRPr="0076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648F5" w:rsidRP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Податкова політика»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базується на </w:t>
            </w:r>
            <w:r w:rsidRPr="005944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супутніх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дисциплінах</w:t>
            </w:r>
            <w:r w:rsidRPr="0059449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9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Методологія</w:t>
            </w:r>
            <w:proofErr w:type="spellEnd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наукових</w:t>
            </w:r>
            <w:proofErr w:type="spellEnd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C35855" w:rsidRPr="00806ACA" w:rsidTr="00C35855">
        <w:tc>
          <w:tcPr>
            <w:tcW w:w="9463" w:type="dxa"/>
            <w:gridSpan w:val="2"/>
          </w:tcPr>
          <w:p w:rsidR="00C35855" w:rsidRPr="00F21198" w:rsidRDefault="00C35855" w:rsidP="008620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</w:t>
            </w:r>
            <w:r w:rsidRPr="00F211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7648F5" w:rsidRPr="0076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648F5" w:rsidRP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Податкова політика»</w:t>
            </w:r>
            <w:r w:rsidR="00CB192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дозволить майбутнім магістрам розв’язувати складні спеціалізовані завдання та практичні проблеми в ході професійної діяльності у галузі податково</w:t>
            </w:r>
            <w:r w:rsidR="0076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48F5" w:rsidRP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 w:rsid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процесі навчання, що передбачає застосування окремих методів і положень та характеризується невизначеністю умов і необхідністю врахування комплексу вимог здійснення професійної та навчальної діяльності.</w:t>
            </w:r>
          </w:p>
          <w:p w:rsidR="00C35855" w:rsidRPr="00F21198" w:rsidRDefault="00C35855" w:rsidP="008620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дисципліна </w:t>
            </w:r>
            <w:r w:rsidR="007648F5" w:rsidRPr="0076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648F5" w:rsidRP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Податкова політика»</w:t>
            </w:r>
            <w:r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базується на знаннях таких дисциплін, як: «</w:t>
            </w:r>
            <w:r w:rsidRPr="00F211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наукових досліджень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Pr="00F211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Оподаткування суб'єктів господарювання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та інших.</w:t>
            </w:r>
          </w:p>
          <w:p w:rsidR="00C35855" w:rsidRPr="00F21198" w:rsidRDefault="00C35855" w:rsidP="008620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авички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C35855" w:rsidRPr="00C35855" w:rsidRDefault="00C35855" w:rsidP="0086205F">
            <w:pPr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8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(СК09).</w:t>
            </w:r>
          </w:p>
          <w:p w:rsidR="00C35855" w:rsidRPr="004130ED" w:rsidRDefault="00C35855" w:rsidP="0086205F">
            <w:p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навчання з дисципліни </w:t>
            </w:r>
            <w:r w:rsidR="00CB1922" w:rsidRPr="0076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B1922" w:rsidRP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Податкова політика»</w:t>
            </w:r>
            <w:r w:rsidR="00CB192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деталізують такі очікувані результати навчання: обґрунтовувати вибір оптимальної системи оподаткування діяльності суб’єкта господарювання на підставі діючого податкового законодавства </w:t>
            </w: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(ПР08)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C3585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2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Формування </w:t>
            </w:r>
            <w:r w:rsidRPr="00F211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теоретичних знань та набуття  практичних вмінь і навичок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="00CB1922"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податково</w:t>
            </w:r>
            <w:r w:rsidR="00CB1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B1922"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1922" w:rsidRP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 w:rsidR="00CB192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B1922"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необхідних майбутнім спеціалістам для роботи на підприємствах різних форм власності, формування у студентів професійних навичок роботи з податковою документацією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594496" w:rsidRDefault="00C35855" w:rsidP="0086205F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студентів з 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теоретичн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організаційними основами </w:t>
            </w:r>
            <w:r w:rsidR="00CB1922"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податково</w:t>
            </w:r>
            <w:r w:rsidR="00CB1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B1922"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1922" w:rsidRPr="007648F5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політик</w:t>
            </w:r>
            <w:r w:rsidR="00CB192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нормативного регламентування та практики службових стосунків платників податків та податкових органів; порядком обчислення та сплати податкових платежів.</w:t>
            </w:r>
          </w:p>
        </w:tc>
      </w:tr>
    </w:tbl>
    <w:p w:rsidR="00D56E02" w:rsidRDefault="00D56E02">
      <w:pPr>
        <w:rPr>
          <w:lang w:val="uk-UA"/>
        </w:rPr>
      </w:pPr>
    </w:p>
    <w:p w:rsidR="00CB1922" w:rsidRDefault="00CB1922">
      <w:pPr>
        <w:rPr>
          <w:lang w:val="uk-UA"/>
        </w:rPr>
      </w:pPr>
    </w:p>
    <w:p w:rsidR="00CB1922" w:rsidRPr="00CB1922" w:rsidRDefault="00C35855" w:rsidP="00CB1922">
      <w:pPr>
        <w:spacing w:line="360" w:lineRule="auto"/>
        <w:jc w:val="center"/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6. </w:t>
      </w:r>
      <w:r w:rsidRPr="004130ED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1922" w:rsidRPr="00CB192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B1922" w:rsidRPr="00CB1922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 xml:space="preserve">Податкова політика» </w:t>
      </w:r>
    </w:p>
    <w:p w:rsidR="00ED26B2" w:rsidRDefault="00D2552E" w:rsidP="00ED26B2">
      <w:pPr>
        <w:spacing w:line="360" w:lineRule="auto"/>
        <w:jc w:val="center"/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</w:pPr>
      <w:r w:rsidRPr="005944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1. </w:t>
      </w:r>
      <w:r w:rsidR="00ED26B2" w:rsidRPr="00ED26B2">
        <w:rPr>
          <w:rFonts w:ascii="Times New Roman" w:hAnsi="Times New Roman" w:cs="Times New Roman"/>
          <w:b/>
          <w:sz w:val="24"/>
          <w:szCs w:val="24"/>
        </w:rPr>
        <w:t xml:space="preserve">Податкова політика </w:t>
      </w:r>
      <w:proofErr w:type="gramStart"/>
      <w:r w:rsidR="00ED26B2" w:rsidRPr="00ED26B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D26B2" w:rsidRPr="00ED26B2">
        <w:rPr>
          <w:rFonts w:ascii="Times New Roman" w:hAnsi="Times New Roman" w:cs="Times New Roman"/>
          <w:b/>
          <w:sz w:val="24"/>
          <w:szCs w:val="24"/>
        </w:rPr>
        <w:t xml:space="preserve"> системі державного регулювання економіки</w:t>
      </w:r>
      <w:r w:rsidR="00ED26B2"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D26B2" w:rsidRDefault="00ED26B2" w:rsidP="00ED26B2">
      <w:pPr>
        <w:tabs>
          <w:tab w:val="left" w:pos="586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2416C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22416C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1</w:t>
      </w:r>
      <w:r w:rsidRPr="00224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2416C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22416C">
        <w:rPr>
          <w:rFonts w:ascii="Times New Roman" w:hAnsi="Times New Roman" w:cs="Times New Roman"/>
          <w:b/>
          <w:sz w:val="24"/>
          <w:szCs w:val="24"/>
        </w:rPr>
        <w:t xml:space="preserve">Методологія формування податкової політики </w:t>
      </w:r>
    </w:p>
    <w:p w:rsidR="00614126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2416C">
        <w:rPr>
          <w:rFonts w:ascii="Times New Roman" w:hAnsi="Times New Roman" w:cs="Times New Roman"/>
          <w:sz w:val="24"/>
          <w:szCs w:val="24"/>
        </w:rPr>
        <w:t>Мета й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Податкова політика 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системі державного регулювання економіки.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416C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14126" w:rsidRDefault="00614126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2416C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2</w:t>
      </w:r>
      <w:r w:rsidRPr="00224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2416C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="00ED26B2" w:rsidRPr="00614126">
        <w:rPr>
          <w:rFonts w:ascii="Times New Roman" w:hAnsi="Times New Roman" w:cs="Times New Roman"/>
          <w:b/>
          <w:sz w:val="24"/>
          <w:szCs w:val="24"/>
          <w:lang w:val="uk-UA"/>
        </w:rPr>
        <w:t>Механізм реалізації податкової політики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16C">
        <w:rPr>
          <w:rFonts w:ascii="Times New Roman" w:hAnsi="Times New Roman" w:cs="Times New Roman"/>
          <w:sz w:val="24"/>
          <w:szCs w:val="24"/>
          <w:lang w:val="uk-UA"/>
        </w:rPr>
        <w:t>Податкова політика в контексті теорії інституціоналізму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2416C">
        <w:rPr>
          <w:rFonts w:ascii="Times New Roman" w:hAnsi="Times New Roman" w:cs="Times New Roman"/>
          <w:sz w:val="24"/>
          <w:szCs w:val="24"/>
          <w:lang w:val="uk-UA"/>
        </w:rPr>
        <w:t>Податкові реформи як результат змін податкової політики. Податкова політика й макроекономічна нестабільність.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2416C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="0061412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3</w:t>
      </w:r>
      <w:r w:rsidRPr="00224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2416C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22416C">
        <w:rPr>
          <w:rFonts w:ascii="Times New Roman" w:hAnsi="Times New Roman" w:cs="Times New Roman"/>
          <w:b/>
          <w:sz w:val="24"/>
          <w:szCs w:val="24"/>
        </w:rPr>
        <w:t>Стратегічні орієнтири державної податкової політики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Ефективна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Справедлива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16C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компромісу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ефективністю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справедливістю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2416C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="0061412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4</w:t>
      </w:r>
      <w:r w:rsidRPr="00224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2416C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22416C">
        <w:rPr>
          <w:rFonts w:ascii="Times New Roman" w:hAnsi="Times New Roman" w:cs="Times New Roman"/>
          <w:b/>
          <w:sz w:val="24"/>
          <w:szCs w:val="24"/>
        </w:rPr>
        <w:t>Податкова політика та економічне зростання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доході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заощадження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орієнтованої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на економічне зростання.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Податкова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фінансово-економічної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26" w:rsidRPr="00ED26B2" w:rsidRDefault="00614126" w:rsidP="006141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44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11. </w:t>
      </w:r>
      <w:r w:rsidRPr="00ED26B2">
        <w:rPr>
          <w:rFonts w:ascii="Times New Roman" w:hAnsi="Times New Roman" w:cs="Times New Roman"/>
          <w:b/>
          <w:sz w:val="24"/>
          <w:szCs w:val="24"/>
        </w:rPr>
        <w:t xml:space="preserve">Податкова </w:t>
      </w:r>
      <w:proofErr w:type="spellStart"/>
      <w:r w:rsidRPr="00ED26B2">
        <w:rPr>
          <w:rFonts w:ascii="Times New Roman" w:hAnsi="Times New Roman" w:cs="Times New Roman"/>
          <w:b/>
          <w:sz w:val="24"/>
          <w:szCs w:val="24"/>
        </w:rPr>
        <w:t>політика</w:t>
      </w:r>
      <w:proofErr w:type="spellEnd"/>
      <w:r w:rsidRPr="00ED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6B2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ED26B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D26B2">
        <w:rPr>
          <w:rFonts w:ascii="Times New Roman" w:hAnsi="Times New Roman" w:cs="Times New Roman"/>
          <w:b/>
          <w:sz w:val="24"/>
          <w:szCs w:val="24"/>
        </w:rPr>
        <w:t>контексті</w:t>
      </w:r>
      <w:proofErr w:type="spellEnd"/>
      <w:r w:rsidRPr="00ED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6B2">
        <w:rPr>
          <w:rFonts w:ascii="Times New Roman" w:hAnsi="Times New Roman" w:cs="Times New Roman"/>
          <w:b/>
          <w:sz w:val="24"/>
          <w:szCs w:val="24"/>
        </w:rPr>
        <w:t>європейської</w:t>
      </w:r>
      <w:proofErr w:type="spellEnd"/>
      <w:r w:rsidRPr="00ED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6B2">
        <w:rPr>
          <w:rFonts w:ascii="Times New Roman" w:hAnsi="Times New Roman" w:cs="Times New Roman"/>
          <w:b/>
          <w:sz w:val="24"/>
          <w:szCs w:val="24"/>
        </w:rPr>
        <w:t>інтеграції</w:t>
      </w:r>
      <w:proofErr w:type="spellEnd"/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r w:rsidR="0061412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2416C">
        <w:rPr>
          <w:rFonts w:ascii="Times New Roman" w:hAnsi="Times New Roman" w:cs="Times New Roman"/>
          <w:b/>
          <w:sz w:val="24"/>
          <w:szCs w:val="24"/>
        </w:rPr>
        <w:t>. Регулятивний потенціал податкової політики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регулюючої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податків.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інноваційн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малого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16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Екологічне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26" w:rsidRDefault="00614126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</w:pP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</w:t>
      </w:r>
      <w:r w:rsidRPr="0022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2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2416C">
        <w:rPr>
          <w:rFonts w:ascii="Times New Roman" w:hAnsi="Times New Roman" w:cs="Times New Roman"/>
          <w:b/>
          <w:sz w:val="24"/>
          <w:szCs w:val="24"/>
        </w:rPr>
        <w:t xml:space="preserve">. Актуальні питання удосконалення </w:t>
      </w:r>
      <w:proofErr w:type="spellStart"/>
      <w:r w:rsidRPr="0022416C">
        <w:rPr>
          <w:rFonts w:ascii="Times New Roman" w:hAnsi="Times New Roman" w:cs="Times New Roman"/>
          <w:b/>
          <w:sz w:val="24"/>
          <w:szCs w:val="24"/>
        </w:rPr>
        <w:t>справляння</w:t>
      </w:r>
      <w:proofErr w:type="spellEnd"/>
      <w:r w:rsidRPr="00224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b/>
          <w:sz w:val="24"/>
          <w:szCs w:val="24"/>
        </w:rPr>
        <w:t>окремих</w:t>
      </w:r>
      <w:proofErr w:type="spellEnd"/>
      <w:r w:rsidRPr="00224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b/>
          <w:sz w:val="24"/>
          <w:szCs w:val="24"/>
        </w:rPr>
        <w:t>податків</w:t>
      </w:r>
      <w:proofErr w:type="spellEnd"/>
      <w:r w:rsidRPr="0022416C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22416C">
        <w:rPr>
          <w:rFonts w:ascii="Times New Roman" w:hAnsi="Times New Roman" w:cs="Times New Roman"/>
          <w:b/>
          <w:sz w:val="24"/>
          <w:szCs w:val="24"/>
        </w:rPr>
        <w:t>зборів</w:t>
      </w:r>
      <w:proofErr w:type="spellEnd"/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амортизації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16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та шляхи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справляння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Фіскально-регулюючий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потенці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ал</w:t>
      </w:r>
      <w:proofErr w:type="spellEnd"/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акцизного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майнового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природоохоронної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r w:rsidR="0061412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2416C">
        <w:rPr>
          <w:rFonts w:ascii="Times New Roman" w:hAnsi="Times New Roman" w:cs="Times New Roman"/>
          <w:b/>
          <w:sz w:val="24"/>
          <w:szCs w:val="24"/>
        </w:rPr>
        <w:t>. Ключові проблеми податкового адміністрування й протидії тіньовій економіці</w:t>
      </w:r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адміністрування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адміністрування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Ідентифікація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податковими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Напрямки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Податкова культура та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Тіньова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gramStart"/>
      <w:r w:rsidRPr="0022416C">
        <w:rPr>
          <w:rFonts w:ascii="Times New Roman" w:hAnsi="Times New Roman" w:cs="Times New Roman"/>
          <w:sz w:val="24"/>
          <w:szCs w:val="24"/>
        </w:rPr>
        <w:t>системна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політики.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масштаби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ухилення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2241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ключовий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фактор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ухилення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26B2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16C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r w:rsidR="0061412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D748B">
        <w:rPr>
          <w:rFonts w:ascii="Times New Roman" w:hAnsi="Times New Roman" w:cs="Times New Roman"/>
          <w:b/>
          <w:sz w:val="24"/>
          <w:szCs w:val="24"/>
        </w:rPr>
        <w:t>. Податкова політика в умовах глобалізації</w:t>
      </w:r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B2" w:rsidRPr="0022416C" w:rsidRDefault="00ED26B2" w:rsidP="00ED26B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74B">
        <w:rPr>
          <w:rFonts w:ascii="Times New Roman" w:hAnsi="Times New Roman" w:cs="Times New Roman"/>
          <w:sz w:val="24"/>
          <w:szCs w:val="24"/>
          <w:lang w:val="uk-UA"/>
        </w:rPr>
        <w:t xml:space="preserve">Корекція національної податкової політики під впливом </w:t>
      </w:r>
      <w:proofErr w:type="spellStart"/>
      <w:r w:rsidRPr="0044174B">
        <w:rPr>
          <w:rFonts w:ascii="Times New Roman" w:hAnsi="Times New Roman" w:cs="Times New Roman"/>
          <w:sz w:val="24"/>
          <w:szCs w:val="24"/>
          <w:lang w:val="uk-UA"/>
        </w:rPr>
        <w:t>глобалізаційних</w:t>
      </w:r>
      <w:proofErr w:type="spellEnd"/>
      <w:r w:rsidRPr="0044174B">
        <w:rPr>
          <w:rFonts w:ascii="Times New Roman" w:hAnsi="Times New Roman" w:cs="Times New Roman"/>
          <w:sz w:val="24"/>
          <w:szCs w:val="24"/>
          <w:lang w:val="uk-UA"/>
        </w:rPr>
        <w:t xml:space="preserve"> процесів.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конкуренція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подвійного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41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2416C">
        <w:rPr>
          <w:rFonts w:ascii="Times New Roman" w:hAnsi="Times New Roman" w:cs="Times New Roman"/>
          <w:sz w:val="24"/>
          <w:szCs w:val="24"/>
        </w:rPr>
        <w:t>ітова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. Податкова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22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6C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922" w:rsidRPr="00CB1922" w:rsidRDefault="00ED26B2" w:rsidP="00CB1922">
      <w:pPr>
        <w:spacing w:line="360" w:lineRule="auto"/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862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02641F" w:rsidRPr="0086205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дисципліни</w:t>
      </w:r>
      <w:r w:rsidR="0086205F" w:rsidRPr="00862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B1922" w:rsidRPr="00CB192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B1922" w:rsidRPr="00CB1922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 xml:space="preserve">Податкова політика» </w:t>
      </w:r>
    </w:p>
    <w:tbl>
      <w:tblPr>
        <w:tblW w:w="482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779"/>
        <w:gridCol w:w="416"/>
        <w:gridCol w:w="416"/>
        <w:gridCol w:w="507"/>
        <w:gridCol w:w="371"/>
        <w:gridCol w:w="110"/>
        <w:gridCol w:w="388"/>
        <w:gridCol w:w="117"/>
        <w:gridCol w:w="588"/>
        <w:gridCol w:w="192"/>
        <w:gridCol w:w="310"/>
        <w:gridCol w:w="92"/>
        <w:gridCol w:w="416"/>
        <w:gridCol w:w="507"/>
        <w:gridCol w:w="89"/>
        <w:gridCol w:w="37"/>
        <w:gridCol w:w="283"/>
        <w:gridCol w:w="9"/>
        <w:gridCol w:w="125"/>
        <w:gridCol w:w="513"/>
      </w:tblGrid>
      <w:tr w:rsidR="0002641F" w:rsidRPr="00F21068" w:rsidTr="0086205F">
        <w:trPr>
          <w:cantSplit/>
          <w:trHeight w:val="143"/>
        </w:trPr>
        <w:tc>
          <w:tcPr>
            <w:tcW w:w="1605" w:type="pct"/>
            <w:vMerge w:val="restar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395" w:type="pct"/>
            <w:gridSpan w:val="20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Кількість годин</w:t>
            </w:r>
          </w:p>
        </w:tc>
      </w:tr>
      <w:tr w:rsidR="0002641F" w:rsidRPr="00F21068" w:rsidTr="0086205F">
        <w:trPr>
          <w:cantSplit/>
          <w:trHeight w:val="143"/>
        </w:trPr>
        <w:tc>
          <w:tcPr>
            <w:tcW w:w="1605" w:type="pct"/>
            <w:vMerge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2" w:type="pct"/>
            <w:gridSpan w:val="8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денна форма</w:t>
            </w:r>
          </w:p>
        </w:tc>
        <w:tc>
          <w:tcPr>
            <w:tcW w:w="1713" w:type="pct"/>
            <w:gridSpan w:val="1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Заочна форма</w:t>
            </w:r>
          </w:p>
        </w:tc>
      </w:tr>
      <w:tr w:rsidR="0002641F" w:rsidRPr="00F21068" w:rsidTr="00A520ED">
        <w:trPr>
          <w:cantSplit/>
          <w:trHeight w:val="143"/>
        </w:trPr>
        <w:tc>
          <w:tcPr>
            <w:tcW w:w="1605" w:type="pct"/>
            <w:vMerge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 w:val="restar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60" w:type="pct"/>
            <w:gridSpan w:val="7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у тому числі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90" w:type="pct"/>
            <w:gridSpan w:val="10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у тому числі</w:t>
            </w:r>
          </w:p>
        </w:tc>
      </w:tr>
      <w:tr w:rsidR="0002641F" w:rsidRPr="00F21068" w:rsidTr="00A520ED">
        <w:trPr>
          <w:cantSplit/>
          <w:trHeight w:val="356"/>
        </w:trPr>
        <w:tc>
          <w:tcPr>
            <w:tcW w:w="1605" w:type="pct"/>
            <w:vMerge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61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74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3" w:type="pct"/>
            <w:gridSpan w:val="2"/>
            <w:vMerge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  <w:gridSpan w:val="5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78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2641F" w:rsidRPr="00F21068" w:rsidTr="00A520ED">
        <w:trPr>
          <w:trHeight w:val="143"/>
        </w:trPr>
        <w:tc>
          <w:tcPr>
            <w:tcW w:w="160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61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74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94" w:type="pct"/>
            <w:gridSpan w:val="5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78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02641F" w:rsidRPr="00F21068" w:rsidTr="0086205F">
        <w:trPr>
          <w:trHeight w:val="623"/>
        </w:trPr>
        <w:tc>
          <w:tcPr>
            <w:tcW w:w="5000" w:type="pct"/>
            <w:gridSpan w:val="21"/>
          </w:tcPr>
          <w:p w:rsidR="0002641F" w:rsidRPr="00F21068" w:rsidRDefault="00CF15F9" w:rsidP="006141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="00614126" w:rsidRPr="00ED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Податкова політика </w:t>
            </w:r>
            <w:proofErr w:type="gramStart"/>
            <w:r w:rsidR="00614126" w:rsidRPr="00ED26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614126" w:rsidRPr="00ED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системі державного регулювання економіки</w:t>
            </w:r>
          </w:p>
        </w:tc>
      </w:tr>
      <w:tr w:rsidR="00AA16DC" w:rsidRPr="00F21068" w:rsidTr="00AA16DC">
        <w:trPr>
          <w:trHeight w:val="666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8"/>
                <w:szCs w:val="18"/>
              </w:rPr>
              <w:t>1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Методологія формування податкової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політики</w:t>
            </w:r>
          </w:p>
        </w:tc>
        <w:tc>
          <w:tcPr>
            <w:tcW w:w="422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yellow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yellow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BB2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0,6</w:t>
            </w:r>
          </w:p>
        </w:tc>
        <w:tc>
          <w:tcPr>
            <w:tcW w:w="274" w:type="pct"/>
            <w:gridSpan w:val="2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43" w:type="pct"/>
            <w:gridSpan w:val="3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  <w:vAlign w:val="center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AA16DC" w:rsidRPr="00F21068" w:rsidTr="00AA16DC">
        <w:trPr>
          <w:trHeight w:val="595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Тема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8"/>
                <w:szCs w:val="18"/>
                <w:lang w:val="uk-UA"/>
              </w:rPr>
              <w:t>2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Механізм реалізації податкової політики</w:t>
            </w:r>
          </w:p>
        </w:tc>
        <w:tc>
          <w:tcPr>
            <w:tcW w:w="422" w:type="pct"/>
            <w:shd w:val="clear" w:color="auto" w:fill="auto"/>
          </w:tcPr>
          <w:p w:rsidR="00AA16DC" w:rsidRDefault="00AA16DC" w:rsidP="00A520ED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4" w:type="pct"/>
            <w:gridSpan w:val="2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43" w:type="pct"/>
            <w:gridSpan w:val="3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  <w:vAlign w:val="center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AA16DC" w:rsidRPr="00F21068" w:rsidTr="00AA16DC">
        <w:trPr>
          <w:trHeight w:val="143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8"/>
                <w:szCs w:val="18"/>
                <w:lang w:val="uk-UA"/>
              </w:rPr>
              <w:t>3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Стратегічні орієнтири державної податкової політики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A16DC" w:rsidRDefault="00AA16DC" w:rsidP="00A520ED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4" w:type="pct"/>
            <w:gridSpan w:val="2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pct"/>
            <w:gridSpan w:val="3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AA16DC" w:rsidRPr="00F21068" w:rsidTr="00AA16DC">
        <w:trPr>
          <w:trHeight w:val="334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8"/>
                <w:szCs w:val="18"/>
                <w:lang w:val="uk-UA"/>
              </w:rPr>
              <w:t>4</w:t>
            </w:r>
            <w:r w:rsidRPr="004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453D0B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Податкова політика та економічне зростання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A16DC" w:rsidRDefault="00AA16DC" w:rsidP="00A520ED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4" w:type="pct"/>
            <w:gridSpan w:val="2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pct"/>
            <w:gridSpan w:val="3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02641F" w:rsidRPr="00F21068" w:rsidTr="00AA16DC">
        <w:trPr>
          <w:trHeight w:val="334"/>
        </w:trPr>
        <w:tc>
          <w:tcPr>
            <w:tcW w:w="160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02641F" w:rsidRPr="00F21068" w:rsidRDefault="00BB2B60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4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43" w:type="pct"/>
            <w:gridSpan w:val="3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</w:t>
            </w:r>
          </w:p>
        </w:tc>
      </w:tr>
      <w:tr w:rsidR="0002641F" w:rsidRPr="00F21068" w:rsidTr="0086205F">
        <w:trPr>
          <w:trHeight w:val="334"/>
        </w:trPr>
        <w:tc>
          <w:tcPr>
            <w:tcW w:w="5000" w:type="pct"/>
            <w:gridSpan w:val="21"/>
          </w:tcPr>
          <w:p w:rsidR="0002641F" w:rsidRPr="00614126" w:rsidRDefault="00614126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11. </w:t>
            </w:r>
            <w:r w:rsidRPr="00ED26B2">
              <w:rPr>
                <w:rFonts w:ascii="Times New Roman" w:hAnsi="Times New Roman" w:cs="Times New Roman"/>
                <w:b/>
                <w:sz w:val="24"/>
                <w:szCs w:val="24"/>
              </w:rPr>
              <w:t>Податкова політика України в контексті європейської інтеграції</w:t>
            </w:r>
          </w:p>
        </w:tc>
      </w:tr>
      <w:tr w:rsidR="00AA16DC" w:rsidRPr="00F21068" w:rsidTr="00AA16DC">
        <w:trPr>
          <w:trHeight w:val="334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. Регулятивний потенціал податкової політики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yellow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0,6</w:t>
            </w:r>
          </w:p>
        </w:tc>
        <w:tc>
          <w:tcPr>
            <w:tcW w:w="274" w:type="pct"/>
            <w:gridSpan w:val="2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23" w:type="pct"/>
            <w:gridSpan w:val="2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</w:tcPr>
          <w:p w:rsidR="00AA16DC" w:rsidRPr="00F21068" w:rsidRDefault="00AA16DC" w:rsidP="00A0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AA16DC" w:rsidRPr="00F21068" w:rsidTr="00AA16DC">
        <w:trPr>
          <w:trHeight w:val="334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Актуальні питання удосконалення </w:t>
            </w:r>
            <w:proofErr w:type="spellStart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справляння</w:t>
            </w:r>
            <w:proofErr w:type="spellEnd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окремих</w:t>
            </w:r>
            <w:proofErr w:type="spellEnd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податків</w:t>
            </w:r>
            <w:proofErr w:type="spellEnd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і </w:t>
            </w:r>
            <w:proofErr w:type="spellStart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зборів</w:t>
            </w:r>
            <w:proofErr w:type="spellEnd"/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4" w:type="pct"/>
            <w:gridSpan w:val="2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23" w:type="pct"/>
            <w:gridSpan w:val="2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AA16DC" w:rsidRPr="00F21068" w:rsidTr="00AA16DC">
        <w:trPr>
          <w:trHeight w:val="521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. Ключові проблеми податкового адміністрування й протидії тіньовій економіці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2" w:type="pct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4" w:type="pct"/>
            <w:gridSpan w:val="2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3" w:type="pct"/>
            <w:gridSpan w:val="2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</w:tcPr>
          <w:p w:rsidR="00AA16DC" w:rsidRDefault="00AA16DC">
            <w:r w:rsidRPr="00E22F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AA16DC" w:rsidRPr="00F21068" w:rsidTr="00AA16DC">
        <w:trPr>
          <w:trHeight w:val="334"/>
        </w:trPr>
        <w:tc>
          <w:tcPr>
            <w:tcW w:w="1605" w:type="pct"/>
          </w:tcPr>
          <w:p w:rsidR="00AA16DC" w:rsidRPr="00453D0B" w:rsidRDefault="00AA16DC" w:rsidP="00F90A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3D0B">
              <w:rPr>
                <w:rStyle w:val="m-6439367313680690572xfm47050603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  <w:r w:rsidRPr="00453D0B">
              <w:rPr>
                <w:rFonts w:ascii="Times New Roman" w:hAnsi="Times New Roman" w:cs="Times New Roman"/>
                <w:b/>
                <w:sz w:val="18"/>
                <w:szCs w:val="18"/>
              </w:rPr>
              <w:t>. Податкова політика в умовах глобалізації</w:t>
            </w:r>
            <w:r w:rsidRPr="00453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A16DC" w:rsidRDefault="00AA16DC" w:rsidP="00614126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A16DC" w:rsidRPr="00F21068" w:rsidRDefault="00AA16DC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4" w:type="pct"/>
            <w:gridSpan w:val="2"/>
          </w:tcPr>
          <w:p w:rsidR="00AA16DC" w:rsidRPr="00F21068" w:rsidRDefault="00AA16DC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3" w:type="pct"/>
            <w:gridSpan w:val="2"/>
            <w:vAlign w:val="center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6DC" w:rsidRPr="00F21068" w:rsidRDefault="00AA16DC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</w:tcPr>
          <w:p w:rsidR="00AA16DC" w:rsidRDefault="00AA16DC">
            <w:r w:rsidRPr="00E22F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86205F" w:rsidRPr="00F21068" w:rsidTr="00AA16DC">
        <w:trPr>
          <w:trHeight w:val="334"/>
        </w:trPr>
        <w:tc>
          <w:tcPr>
            <w:tcW w:w="1605" w:type="pct"/>
          </w:tcPr>
          <w:p w:rsidR="0002641F" w:rsidRPr="00F21068" w:rsidRDefault="0002641F" w:rsidP="009227E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 w:rsidR="009227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02641F" w:rsidRPr="00F21068" w:rsidRDefault="0002641F" w:rsidP="00BB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BB2B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4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3" w:type="pct"/>
            <w:gridSpan w:val="2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</w:t>
            </w:r>
          </w:p>
        </w:tc>
      </w:tr>
      <w:tr w:rsidR="0086205F" w:rsidRPr="00F21068" w:rsidTr="00AA16DC">
        <w:trPr>
          <w:trHeight w:val="334"/>
        </w:trPr>
        <w:tc>
          <w:tcPr>
            <w:tcW w:w="160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A5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74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3" w:type="pct"/>
            <w:gridSpan w:val="2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112</w:t>
            </w:r>
          </w:p>
        </w:tc>
      </w:tr>
    </w:tbl>
    <w:p w:rsidR="00614126" w:rsidRPr="00CB1922" w:rsidRDefault="0086205F" w:rsidP="00614126">
      <w:pPr>
        <w:spacing w:line="360" w:lineRule="auto"/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 w:rsidRPr="000A15D8">
        <w:rPr>
          <w:rFonts w:ascii="Times New Roman" w:hAnsi="Times New Roman" w:cs="Times New Roman"/>
          <w:b/>
          <w:sz w:val="28"/>
          <w:szCs w:val="28"/>
          <w:lang w:val="uk-UA"/>
        </w:rPr>
        <w:t>8. План вивчення навчальної дисципліни</w:t>
      </w:r>
      <w:r w:rsidR="000A15D8" w:rsidRPr="000A1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4126" w:rsidRPr="00CB192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14126" w:rsidRPr="00CB1922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 xml:space="preserve">Податкова політика»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587"/>
        <w:gridCol w:w="1608"/>
        <w:gridCol w:w="1275"/>
      </w:tblGrid>
      <w:tr w:rsidR="0086205F" w:rsidRPr="004130ED" w:rsidTr="00B36B43">
        <w:tc>
          <w:tcPr>
            <w:tcW w:w="993" w:type="dxa"/>
          </w:tcPr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5587" w:type="dxa"/>
          </w:tcPr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86205F" w:rsidRPr="004130ED" w:rsidTr="0086205F">
              <w:trPr>
                <w:trHeight w:val="109"/>
              </w:trPr>
              <w:tc>
                <w:tcPr>
                  <w:tcW w:w="0" w:type="auto"/>
                </w:tcPr>
                <w:p w:rsidR="0086205F" w:rsidRPr="004130ED" w:rsidRDefault="0086205F" w:rsidP="008620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86205F" w:rsidRPr="004130ED" w:rsidTr="00B36B43">
        <w:tc>
          <w:tcPr>
            <w:tcW w:w="993" w:type="dxa"/>
          </w:tcPr>
          <w:p w:rsidR="0086205F" w:rsidRPr="002D1EF6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5587" w:type="dxa"/>
          </w:tcPr>
          <w:p w:rsidR="0086205F" w:rsidRPr="00F9010F" w:rsidRDefault="00AA16DC" w:rsidP="00B36B4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614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</w:rPr>
              <w:t>1</w:t>
            </w:r>
            <w:r w:rsidRPr="0061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Методологія формування податкової політики</w:t>
            </w:r>
          </w:p>
        </w:tc>
        <w:tc>
          <w:tcPr>
            <w:tcW w:w="1608" w:type="dxa"/>
          </w:tcPr>
          <w:p w:rsidR="0086205F" w:rsidRPr="004130ED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86205F" w:rsidRPr="004130ED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5587" w:type="dxa"/>
          </w:tcPr>
          <w:p w:rsidR="00AA16DC" w:rsidRDefault="00AA16DC">
            <w:r w:rsidRPr="0073067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3067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306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2</w:t>
            </w:r>
            <w:r w:rsidRPr="00730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3067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3067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Механізм реалізації податкової політики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5587" w:type="dxa"/>
          </w:tcPr>
          <w:p w:rsidR="00AA16DC" w:rsidRDefault="00AA16DC">
            <w:r w:rsidRPr="0073067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3067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306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2</w:t>
            </w:r>
            <w:r w:rsidRPr="00730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3067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3067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Механізм реалізації податкової політики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5587" w:type="dxa"/>
          </w:tcPr>
          <w:p w:rsidR="00AA16DC" w:rsidRDefault="00AA16DC" w:rsidP="00AA16DC">
            <w:pPr>
              <w:jc w:val="both"/>
            </w:pPr>
            <w:r w:rsidRPr="0038325D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38325D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3</w:t>
            </w: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8325D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38325D">
              <w:rPr>
                <w:rFonts w:ascii="Times New Roman" w:hAnsi="Times New Roman" w:cs="Times New Roman"/>
                <w:b/>
                <w:sz w:val="20"/>
                <w:szCs w:val="20"/>
              </w:rPr>
              <w:t>Стратегічні орієнтири державної податкової політики</w:t>
            </w:r>
            <w:r w:rsidRPr="0038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5587" w:type="dxa"/>
          </w:tcPr>
          <w:p w:rsidR="00AA16DC" w:rsidRDefault="00AA16DC" w:rsidP="00AA16DC">
            <w:pPr>
              <w:jc w:val="both"/>
            </w:pPr>
            <w:r w:rsidRPr="0038325D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38325D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3</w:t>
            </w:r>
            <w:r w:rsidRPr="0038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8325D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38325D">
              <w:rPr>
                <w:rFonts w:ascii="Times New Roman" w:hAnsi="Times New Roman" w:cs="Times New Roman"/>
                <w:b/>
                <w:sz w:val="20"/>
                <w:szCs w:val="20"/>
              </w:rPr>
              <w:t>Стратегічні орієнтири державної податкової політики</w:t>
            </w:r>
            <w:r w:rsidRPr="0038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5587" w:type="dxa"/>
          </w:tcPr>
          <w:p w:rsidR="00AA16DC" w:rsidRDefault="00AA16DC">
            <w:r w:rsidRPr="00543D80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543D80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543D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4</w:t>
            </w:r>
            <w:r w:rsidRPr="0054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43D80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543D80">
              <w:rPr>
                <w:rFonts w:ascii="Times New Roman" w:hAnsi="Times New Roman" w:cs="Times New Roman"/>
                <w:b/>
                <w:sz w:val="20"/>
                <w:szCs w:val="20"/>
              </w:rPr>
              <w:t>Податкова політика та економічне зростання</w:t>
            </w:r>
            <w:r w:rsidRPr="00543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5587" w:type="dxa"/>
          </w:tcPr>
          <w:p w:rsidR="00AA16DC" w:rsidRDefault="00AA16DC">
            <w:r w:rsidRPr="00543D80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543D80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543D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4</w:t>
            </w:r>
            <w:r w:rsidRPr="0054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43D80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543D80">
              <w:rPr>
                <w:rFonts w:ascii="Times New Roman" w:hAnsi="Times New Roman" w:cs="Times New Roman"/>
                <w:b/>
                <w:sz w:val="20"/>
                <w:szCs w:val="20"/>
              </w:rPr>
              <w:t>Податкова політика та економічне зростання</w:t>
            </w:r>
            <w:r w:rsidRPr="00543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87" w:type="dxa"/>
          </w:tcPr>
          <w:p w:rsidR="00AA16DC" w:rsidRDefault="00AA16DC">
            <w:r w:rsidRPr="00412E62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412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412E62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Регулятивний потенціал податкової політики</w:t>
            </w:r>
            <w:r w:rsidRPr="00412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87" w:type="dxa"/>
          </w:tcPr>
          <w:p w:rsidR="00AA16DC" w:rsidRDefault="00AA16DC">
            <w:r w:rsidRPr="00412E62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412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412E62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Регулятивний потенціал податкової політики</w:t>
            </w:r>
            <w:r w:rsidRPr="00412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rPr>
          <w:trHeight w:val="421"/>
        </w:trPr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87" w:type="dxa"/>
          </w:tcPr>
          <w:p w:rsidR="00AA16DC" w:rsidRDefault="00AA16DC" w:rsidP="00AA16DC">
            <w:pPr>
              <w:jc w:val="both"/>
            </w:pPr>
            <w:r w:rsidRPr="0061006F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0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Актуальні питання удосконалення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справляння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окремих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податків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зборів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16DC" w:rsidRDefault="00AA16DC" w:rsidP="0086205F">
            <w:pPr>
              <w:jc w:val="center"/>
            </w:pP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587" w:type="dxa"/>
          </w:tcPr>
          <w:p w:rsidR="00AA16DC" w:rsidRDefault="00AA16DC" w:rsidP="00AA16DC">
            <w:pPr>
              <w:jc w:val="both"/>
            </w:pPr>
            <w:r w:rsidRPr="0061006F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0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Актуальні питання удосконалення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справляння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окремих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податків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 </w:t>
            </w:r>
            <w:proofErr w:type="spellStart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>зборів</w:t>
            </w:r>
            <w:proofErr w:type="spellEnd"/>
            <w:r w:rsidRPr="0061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587" w:type="dxa"/>
          </w:tcPr>
          <w:p w:rsidR="00AA16DC" w:rsidRDefault="00AA16DC">
            <w:r w:rsidRPr="00F90FC4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F90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F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F90FC4">
              <w:rPr>
                <w:rFonts w:ascii="Times New Roman" w:hAnsi="Times New Roman" w:cs="Times New Roman"/>
                <w:b/>
                <w:sz w:val="20"/>
                <w:szCs w:val="20"/>
              </w:rPr>
              <w:t>. Ключові проблеми податкового адміністрування й протидії тіньовій економіці</w:t>
            </w:r>
            <w:r w:rsidRPr="00F90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5587" w:type="dxa"/>
          </w:tcPr>
          <w:p w:rsidR="00AA16DC" w:rsidRDefault="00AA16DC">
            <w:r w:rsidRPr="00F90FC4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F90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F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F90FC4">
              <w:rPr>
                <w:rFonts w:ascii="Times New Roman" w:hAnsi="Times New Roman" w:cs="Times New Roman"/>
                <w:b/>
                <w:sz w:val="20"/>
                <w:szCs w:val="20"/>
              </w:rPr>
              <w:t>. Ключові проблеми податкового адміністрування й протидії тіньовій економіці</w:t>
            </w:r>
            <w:r w:rsidRPr="00F90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87" w:type="dxa"/>
          </w:tcPr>
          <w:p w:rsidR="00AA16DC" w:rsidRDefault="00AA16DC">
            <w:r w:rsidRPr="007C01F7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1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7C01F7">
              <w:rPr>
                <w:rFonts w:ascii="Times New Roman" w:hAnsi="Times New Roman" w:cs="Times New Roman"/>
                <w:b/>
                <w:sz w:val="20"/>
                <w:szCs w:val="20"/>
              </w:rPr>
              <w:t>. Податкова політика в умовах глобалізації</w:t>
            </w:r>
            <w:r w:rsidRPr="007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16DC" w:rsidTr="00B36B43">
        <w:tc>
          <w:tcPr>
            <w:tcW w:w="993" w:type="dxa"/>
          </w:tcPr>
          <w:p w:rsidR="00AA16DC" w:rsidRPr="002D1EF6" w:rsidRDefault="00AA16DC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87" w:type="dxa"/>
          </w:tcPr>
          <w:p w:rsidR="00AA16DC" w:rsidRDefault="00AA16DC">
            <w:r w:rsidRPr="007C01F7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1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7C01F7">
              <w:rPr>
                <w:rFonts w:ascii="Times New Roman" w:hAnsi="Times New Roman" w:cs="Times New Roman"/>
                <w:b/>
                <w:sz w:val="20"/>
                <w:szCs w:val="20"/>
              </w:rPr>
              <w:t>. Податкова політика в умовах глобалізації</w:t>
            </w:r>
            <w:r w:rsidRPr="007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A16DC" w:rsidRDefault="00AA16DC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AA16DC" w:rsidRDefault="00AA16DC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05F" w:rsidRPr="00526D07" w:rsidTr="00B36B43">
        <w:tc>
          <w:tcPr>
            <w:tcW w:w="993" w:type="dxa"/>
          </w:tcPr>
          <w:p w:rsidR="0086205F" w:rsidRPr="00526D07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587" w:type="dxa"/>
          </w:tcPr>
          <w:p w:rsidR="0086205F" w:rsidRPr="00526D07" w:rsidRDefault="0086205F" w:rsidP="008620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86205F" w:rsidRPr="00526D07" w:rsidRDefault="0086205F" w:rsidP="008620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6205F" w:rsidRPr="00526D07" w:rsidRDefault="0086205F" w:rsidP="00862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614126" w:rsidRPr="00CB1922" w:rsidRDefault="0086205F" w:rsidP="00614126">
      <w:pPr>
        <w:spacing w:line="360" w:lineRule="auto"/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 w:rsidRPr="000A15D8">
        <w:rPr>
          <w:rFonts w:ascii="Times New Roman" w:hAnsi="Times New Roman" w:cs="Times New Roman"/>
          <w:b/>
          <w:sz w:val="28"/>
          <w:szCs w:val="28"/>
          <w:lang w:val="uk-UA"/>
        </w:rPr>
        <w:t>9. Самостійна робота</w:t>
      </w:r>
      <w:r w:rsidR="000A15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15D8" w:rsidRPr="000A1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дисципліни </w:t>
      </w:r>
      <w:r w:rsidR="00614126" w:rsidRPr="00CB192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14126" w:rsidRPr="00CB1922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 xml:space="preserve">Податкова політика»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806"/>
        <w:gridCol w:w="947"/>
        <w:gridCol w:w="1036"/>
      </w:tblGrid>
      <w:tr w:rsidR="0086205F" w:rsidRPr="00A73412" w:rsidTr="00AA16DC">
        <w:trPr>
          <w:cantSplit/>
        </w:trPr>
        <w:tc>
          <w:tcPr>
            <w:tcW w:w="709" w:type="dxa"/>
            <w:vMerge w:val="restart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6806" w:type="dxa"/>
            <w:vMerge w:val="restart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983" w:type="dxa"/>
            <w:gridSpan w:val="2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</w:tr>
      <w:tr w:rsidR="0086205F" w:rsidRPr="00A73412" w:rsidTr="00AA16DC">
        <w:trPr>
          <w:cantSplit/>
        </w:trPr>
        <w:tc>
          <w:tcPr>
            <w:tcW w:w="709" w:type="dxa"/>
            <w:vMerge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6" w:type="dxa"/>
            <w:vMerge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7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1036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</w:tr>
      <w:tr w:rsidR="00614126" w:rsidRPr="00A73412" w:rsidTr="00AA16DC">
        <w:tc>
          <w:tcPr>
            <w:tcW w:w="709" w:type="dxa"/>
          </w:tcPr>
          <w:p w:rsidR="00614126" w:rsidRPr="00A73412" w:rsidRDefault="0061412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06" w:type="dxa"/>
          </w:tcPr>
          <w:p w:rsidR="00614126" w:rsidRPr="00614126" w:rsidRDefault="00614126" w:rsidP="009279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6141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</w:rPr>
              <w:t>1</w:t>
            </w:r>
            <w:r w:rsidRPr="0061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Методологія формування податкової політики</w:t>
            </w:r>
          </w:p>
        </w:tc>
        <w:tc>
          <w:tcPr>
            <w:tcW w:w="947" w:type="dxa"/>
          </w:tcPr>
          <w:p w:rsidR="00614126" w:rsidRPr="00F21068" w:rsidRDefault="00614126" w:rsidP="00BB2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36" w:type="dxa"/>
            <w:vAlign w:val="center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D56714" w:rsidRPr="00A73412" w:rsidTr="00AA16DC">
        <w:tc>
          <w:tcPr>
            <w:tcW w:w="709" w:type="dxa"/>
          </w:tcPr>
          <w:p w:rsidR="00D56714" w:rsidRPr="00A73412" w:rsidRDefault="00D56714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06" w:type="dxa"/>
          </w:tcPr>
          <w:p w:rsidR="00D56714" w:rsidRPr="00614126" w:rsidRDefault="00D56714" w:rsidP="00D56714">
            <w:pPr>
              <w:jc w:val="both"/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6714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D56714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D567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2</w:t>
            </w:r>
            <w:r w:rsidRPr="00D56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56714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D567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Механізм реалізації податкової політики</w:t>
            </w:r>
          </w:p>
        </w:tc>
        <w:tc>
          <w:tcPr>
            <w:tcW w:w="947" w:type="dxa"/>
          </w:tcPr>
          <w:p w:rsidR="00D56714" w:rsidRDefault="00D56714" w:rsidP="00BB2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36" w:type="dxa"/>
            <w:vAlign w:val="center"/>
          </w:tcPr>
          <w:p w:rsidR="00D56714" w:rsidRPr="00F21068" w:rsidRDefault="009279FE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614126" w:rsidRPr="00A73412" w:rsidTr="00AA16DC">
        <w:tc>
          <w:tcPr>
            <w:tcW w:w="709" w:type="dxa"/>
          </w:tcPr>
          <w:p w:rsidR="00614126" w:rsidRPr="00A73412" w:rsidRDefault="00D56714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06" w:type="dxa"/>
          </w:tcPr>
          <w:p w:rsidR="00614126" w:rsidRPr="00614126" w:rsidRDefault="00614126" w:rsidP="00D56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="00D567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3</w:t>
            </w:r>
            <w:r w:rsidRPr="0061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>Стратегічні орієнтири державної податкової політики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36" w:type="dxa"/>
            <w:vAlign w:val="center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614126" w:rsidRPr="00A73412" w:rsidTr="00AA16DC">
        <w:tc>
          <w:tcPr>
            <w:tcW w:w="709" w:type="dxa"/>
          </w:tcPr>
          <w:p w:rsidR="00614126" w:rsidRPr="00A73412" w:rsidRDefault="00D56714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806" w:type="dxa"/>
          </w:tcPr>
          <w:p w:rsidR="00614126" w:rsidRPr="00614126" w:rsidRDefault="00614126" w:rsidP="009279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="009279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4</w:t>
            </w:r>
            <w:r w:rsidRPr="0061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14126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>Податкова політика та економічне зростання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36" w:type="dxa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614126" w:rsidRPr="00A73412" w:rsidTr="00AA16DC">
        <w:tc>
          <w:tcPr>
            <w:tcW w:w="709" w:type="dxa"/>
          </w:tcPr>
          <w:p w:rsidR="00614126" w:rsidRPr="00A73412" w:rsidRDefault="00D56714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06" w:type="dxa"/>
          </w:tcPr>
          <w:p w:rsidR="00614126" w:rsidRPr="00614126" w:rsidRDefault="00614126" w:rsidP="009279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Регулятивний потенціал податкової політики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36" w:type="dxa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614126" w:rsidRPr="00A73412" w:rsidTr="00AA16DC">
        <w:tc>
          <w:tcPr>
            <w:tcW w:w="709" w:type="dxa"/>
          </w:tcPr>
          <w:p w:rsidR="00614126" w:rsidRPr="00A73412" w:rsidRDefault="00D56714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06" w:type="dxa"/>
          </w:tcPr>
          <w:p w:rsidR="00614126" w:rsidRPr="00614126" w:rsidRDefault="00614126" w:rsidP="009279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Актуальні питання удосконалення справляння окремих податків і зборів 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</w:tcPr>
          <w:p w:rsidR="00614126" w:rsidRDefault="00614126" w:rsidP="00A074B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6" w:type="dxa"/>
            <w:vAlign w:val="center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614126" w:rsidRPr="00A73412" w:rsidTr="00AA16DC">
        <w:tc>
          <w:tcPr>
            <w:tcW w:w="709" w:type="dxa"/>
          </w:tcPr>
          <w:p w:rsidR="00614126" w:rsidRPr="00A73412" w:rsidRDefault="00D56714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06" w:type="dxa"/>
          </w:tcPr>
          <w:p w:rsidR="00614126" w:rsidRPr="00614126" w:rsidRDefault="00614126" w:rsidP="009279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>. Ключові проблеми податкового адміністрування й протидії тіньовій економіці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47" w:type="dxa"/>
          </w:tcPr>
          <w:p w:rsidR="00614126" w:rsidRDefault="00614126" w:rsidP="00A074B6">
            <w:pPr>
              <w:jc w:val="center"/>
            </w:pPr>
            <w:r w:rsidRPr="00D62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36" w:type="dxa"/>
            <w:vAlign w:val="center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614126" w:rsidRPr="00A73412" w:rsidTr="00AA16DC">
        <w:tc>
          <w:tcPr>
            <w:tcW w:w="709" w:type="dxa"/>
          </w:tcPr>
          <w:p w:rsidR="00614126" w:rsidRPr="00A73412" w:rsidRDefault="00D56714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06" w:type="dxa"/>
          </w:tcPr>
          <w:p w:rsidR="00614126" w:rsidRPr="00614126" w:rsidRDefault="00614126" w:rsidP="009279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12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614126">
              <w:rPr>
                <w:rFonts w:ascii="Times New Roman" w:hAnsi="Times New Roman" w:cs="Times New Roman"/>
                <w:b/>
                <w:sz w:val="20"/>
                <w:szCs w:val="20"/>
              </w:rPr>
              <w:t>. Податкова політика в умовах глобалізації</w:t>
            </w:r>
            <w:r w:rsidRPr="00614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</w:tcPr>
          <w:p w:rsidR="00614126" w:rsidRDefault="00614126" w:rsidP="00A074B6">
            <w:pPr>
              <w:jc w:val="center"/>
            </w:pPr>
            <w:r w:rsidRPr="00D62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36" w:type="dxa"/>
          </w:tcPr>
          <w:p w:rsidR="00614126" w:rsidRPr="00F21068" w:rsidRDefault="00614126" w:rsidP="00614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86205F" w:rsidRPr="00A73412" w:rsidTr="00AA16DC">
        <w:tc>
          <w:tcPr>
            <w:tcW w:w="709" w:type="dxa"/>
          </w:tcPr>
          <w:p w:rsidR="0086205F" w:rsidRPr="00A73412" w:rsidRDefault="0086205F" w:rsidP="0086205F">
            <w:pPr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6" w:type="dxa"/>
          </w:tcPr>
          <w:p w:rsidR="0086205F" w:rsidRPr="00A73412" w:rsidRDefault="0086205F" w:rsidP="0086205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47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1036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112</w:t>
            </w:r>
          </w:p>
        </w:tc>
      </w:tr>
    </w:tbl>
    <w:p w:rsidR="00614126" w:rsidRPr="00CB1922" w:rsidRDefault="000A15D8" w:rsidP="00614126">
      <w:pPr>
        <w:spacing w:line="360" w:lineRule="auto"/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86205F" w:rsidRPr="0086205F">
        <w:rPr>
          <w:rFonts w:ascii="Times New Roman" w:hAnsi="Times New Roman" w:cs="Times New Roman"/>
          <w:b/>
          <w:sz w:val="28"/>
          <w:szCs w:val="28"/>
          <w:lang w:val="uk-UA"/>
        </w:rPr>
        <w:t>Система та критерії оцінювання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4126" w:rsidRPr="00CB192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14126" w:rsidRPr="00CB1922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 xml:space="preserve">Податкова політика» </w:t>
      </w:r>
    </w:p>
    <w:p w:rsidR="0086205F" w:rsidRPr="00F84AF3" w:rsidRDefault="00614126" w:rsidP="006141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05F" w:rsidRPr="00F84AF3">
        <w:rPr>
          <w:rFonts w:ascii="Times New Roman" w:hAnsi="Times New Roman" w:cs="Times New Roman"/>
          <w:sz w:val="28"/>
          <w:szCs w:val="28"/>
          <w:lang w:val="uk-UA"/>
        </w:rPr>
        <w:t xml:space="preserve">Після кожного змістового модуля проводиться рубіжний контроль, який оцінюється </w:t>
      </w:r>
      <w:r w:rsidR="0086205F" w:rsidRPr="00F84AF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100-бальною шкалою. Під час рубіжного контролю враховують наступні види робіт:</w:t>
      </w:r>
    </w:p>
    <w:p w:rsidR="00614126" w:rsidRPr="00CB1922" w:rsidRDefault="0086205F" w:rsidP="00AA16DC">
      <w:pPr>
        <w:spacing w:line="240" w:lineRule="auto"/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 w:rsidRPr="008B29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Проведення змістовного модульного контролю з дисципліни </w:t>
      </w:r>
      <w:r w:rsidR="00614126" w:rsidRPr="00CB192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14126" w:rsidRPr="00CB1922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 xml:space="preserve">Податкова політика»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420"/>
      </w:tblGrid>
      <w:tr w:rsidR="0086205F" w:rsidRPr="008B29E5" w:rsidTr="0086205F">
        <w:tc>
          <w:tcPr>
            <w:tcW w:w="378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216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8B29E5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216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483E5C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2160" w:type="dxa"/>
          </w:tcPr>
          <w:p w:rsidR="0086205F" w:rsidRPr="00483E5C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483E5C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2160" w:type="dxa"/>
          </w:tcPr>
          <w:p w:rsidR="0086205F" w:rsidRPr="00483E5C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DE43F8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2160" w:type="dxa"/>
          </w:tcPr>
          <w:p w:rsidR="0086205F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20" w:type="dxa"/>
          </w:tcPr>
          <w:p w:rsidR="0086205F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8B29E5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Style w:val="FontStyle6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16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0A15D8" w:rsidRDefault="000A15D8" w:rsidP="0086205F">
      <w:pPr>
        <w:pStyle w:val="7"/>
        <w:keepNext w:val="0"/>
        <w:widowControl w:val="0"/>
        <w:ind w:firstLine="709"/>
        <w:jc w:val="both"/>
      </w:pPr>
    </w:p>
    <w:p w:rsidR="000A15D8" w:rsidRDefault="0086205F" w:rsidP="000A15D8">
      <w:pPr>
        <w:pStyle w:val="7"/>
        <w:keepNext w:val="0"/>
        <w:widowControl w:val="0"/>
        <w:ind w:firstLine="709"/>
        <w:jc w:val="both"/>
      </w:pPr>
      <w:r w:rsidRPr="00651FE3">
        <w:t>Підсумкова оцінка за семестр визначається як середня двох підсумкових контролів за перший та другий змістовні модулі.</w:t>
      </w:r>
    </w:p>
    <w:p w:rsidR="0086205F" w:rsidRPr="000A15D8" w:rsidRDefault="0086205F" w:rsidP="000A15D8">
      <w:pPr>
        <w:pStyle w:val="7"/>
        <w:keepNext w:val="0"/>
        <w:widowControl w:val="0"/>
        <w:ind w:firstLine="709"/>
        <w:jc w:val="both"/>
        <w:rPr>
          <w:b w:val="0"/>
        </w:rPr>
      </w:pPr>
      <w:r w:rsidRPr="000A15D8">
        <w:rPr>
          <w:b w:val="0"/>
          <w:szCs w:val="28"/>
        </w:rPr>
        <w:t xml:space="preserve">Іспит проводиться за наявності незадовільної оцінки підсумкового модуля або за вибором студента та містить: теоретичне питання, тести, </w:t>
      </w:r>
      <w:r w:rsidRPr="000A15D8">
        <w:rPr>
          <w:b w:val="0"/>
          <w:szCs w:val="28"/>
        </w:rPr>
        <w:lastRenderedPageBreak/>
        <w:t>задачу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6205F" w:rsidRPr="001E7360" w:rsidTr="00614126">
        <w:trPr>
          <w:trHeight w:val="550"/>
        </w:trPr>
        <w:tc>
          <w:tcPr>
            <w:tcW w:w="9463" w:type="dxa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788"/>
              <w:gridCol w:w="1113"/>
              <w:gridCol w:w="5710"/>
            </w:tblGrid>
            <w:tr w:rsidR="0086205F" w:rsidRPr="00C21D79" w:rsidTr="0086205F">
              <w:trPr>
                <w:trHeight w:val="711"/>
              </w:trPr>
              <w:tc>
                <w:tcPr>
                  <w:tcW w:w="1272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1783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 w:type="page"/>
                  </w: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Стратегія оцінювання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Вага,</w:t>
                  </w: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545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  <w:tc>
                <w:tcPr>
                  <w:tcW w:w="2797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Критерії оцінювання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завдання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, тести,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 за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поточн</w:t>
                  </w:r>
                  <w:r w:rsidRPr="00483E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им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оцінюваням</w:t>
                  </w:r>
                  <w:proofErr w:type="spellEnd"/>
                </w:p>
              </w:tc>
              <w:tc>
                <w:tcPr>
                  <w:tcW w:w="386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ind w:right="-107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впродовж семестру</w:t>
                  </w:r>
                </w:p>
              </w:tc>
              <w:tc>
                <w:tcPr>
                  <w:tcW w:w="2797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теоретичне опитування та письмове оцінювання за</w:t>
                  </w: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кожною темою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Align w:val="center"/>
                </w:tcPr>
                <w:p w:rsidR="0086205F" w:rsidRPr="000E4E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>оцінка</w:t>
                  </w:r>
                  <w:proofErr w:type="spellEnd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>самостійну</w:t>
                  </w:r>
                  <w:proofErr w:type="spellEnd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роботу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7567F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86205F" w:rsidRPr="000E4E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0E4E7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виконання самостійної роботи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Align w:val="center"/>
                </w:tcPr>
                <w:p w:rsidR="0086205F" w:rsidRPr="00967B1E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тестування під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7567F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50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86205F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тестове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оцінювання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знань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матеріалу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лекцій</w:t>
                  </w:r>
                  <w:proofErr w:type="spellEnd"/>
                </w:p>
              </w:tc>
            </w:tr>
            <w:tr w:rsidR="0086205F" w:rsidRPr="00C21D79" w:rsidTr="0086205F">
              <w:trPr>
                <w:trHeight w:val="562"/>
              </w:trPr>
              <w:tc>
                <w:tcPr>
                  <w:tcW w:w="1272" w:type="pct"/>
                  <w:vAlign w:val="center"/>
                </w:tcPr>
                <w:p w:rsidR="0086205F" w:rsidRPr="00967B1E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67B1E">
                    <w:rPr>
                      <w:rFonts w:ascii="Times New Roman" w:hAnsi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967B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</w:t>
                  </w:r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gramStart"/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proofErr w:type="gramEnd"/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7567F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86205F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письмове оцінювання за</w:t>
                  </w: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тем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ами практичних робіт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Merge w:val="restar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складання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іспиту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1D79">
                    <w:rPr>
                      <w:rFonts w:ascii="Times New Roman" w:hAnsi="Times New Roman"/>
                      <w:sz w:val="20"/>
                      <w:szCs w:val="20"/>
                    </w:rPr>
                    <w:t>60-100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ind w:left="-30" w:firstLine="3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ісля</w:t>
                  </w:r>
                  <w:proofErr w:type="spellEnd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модулю</w:t>
                  </w:r>
                </w:p>
              </w:tc>
              <w:tc>
                <w:tcPr>
                  <w:tcW w:w="2797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D79">
                    <w:rPr>
                      <w:rFonts w:ascii="Times New Roman" w:hAnsi="Times New Roman"/>
                      <w:sz w:val="24"/>
                      <w:szCs w:val="24"/>
                    </w:rPr>
                    <w:t>35-59</w:t>
                  </w:r>
                </w:p>
              </w:tc>
              <w:tc>
                <w:tcPr>
                  <w:tcW w:w="545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1-34</w:t>
                  </w:r>
                </w:p>
              </w:tc>
              <w:tc>
                <w:tcPr>
                  <w:tcW w:w="545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86205F" w:rsidRPr="00651FE3" w:rsidRDefault="0086205F" w:rsidP="0086205F">
            <w:pPr>
              <w:pStyle w:val="7"/>
              <w:keepNext w:val="0"/>
              <w:widowControl w:val="0"/>
              <w:ind w:firstLine="709"/>
              <w:jc w:val="both"/>
              <w:outlineLvl w:val="6"/>
              <w:rPr>
                <w:i/>
              </w:rPr>
            </w:pPr>
            <w:r w:rsidRPr="00651FE3">
              <w:t>Підсумкова оцінка за семестр визначається як середня двох підсумкових контролів за перший та другий змістовні модулі.</w:t>
            </w:r>
          </w:p>
          <w:p w:rsidR="0086205F" w:rsidRPr="00D96321" w:rsidRDefault="0086205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6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національна та ECTS</w:t>
            </w:r>
          </w:p>
          <w:tbl>
            <w:tblPr>
              <w:tblW w:w="5055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592"/>
              <w:gridCol w:w="1928"/>
              <w:gridCol w:w="3813"/>
            </w:tblGrid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</w:t>
                  </w: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ECTS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204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lang w:val="uk-UA"/>
                    </w:rPr>
                  </w:pPr>
                </w:p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lang w:val="uk-UA"/>
                    </w:rPr>
                  </w:pPr>
                </w:p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зараховано</w:t>
                  </w: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85-89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75-84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70-74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60-69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1-34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86205F" w:rsidRPr="001E7360" w:rsidRDefault="0086205F" w:rsidP="008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5F" w:rsidRPr="00A73412" w:rsidTr="00614126">
        <w:tc>
          <w:tcPr>
            <w:tcW w:w="9463" w:type="dxa"/>
          </w:tcPr>
          <w:p w:rsidR="0086205F" w:rsidRPr="00A73412" w:rsidRDefault="0086205F" w:rsidP="0061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  <w:r w:rsidRPr="00A73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Політика курсу</w:t>
            </w:r>
            <w:r w:rsidRPr="00A73412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614126" w:rsidRPr="00CB1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614126" w:rsidRPr="00CB1922">
              <w:rPr>
                <w:rStyle w:val="m-6439367313680690572xfm4705060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Податкова політика» </w:t>
            </w:r>
          </w:p>
        </w:tc>
      </w:tr>
      <w:tr w:rsidR="0086205F" w:rsidRPr="00806ACA" w:rsidTr="00614126">
        <w:tc>
          <w:tcPr>
            <w:tcW w:w="9463" w:type="dxa"/>
          </w:tcPr>
          <w:p w:rsidR="0086205F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86205F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86205F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86205F" w:rsidRPr="004130ED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6205F" w:rsidRPr="0086205F" w:rsidRDefault="0086205F" w:rsidP="0086205F">
      <w:pPr>
        <w:rPr>
          <w:lang w:val="uk-UA"/>
        </w:rPr>
      </w:pPr>
    </w:p>
    <w:sectPr w:rsidR="0086205F" w:rsidRPr="0086205F" w:rsidSect="00D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3EACC25C"/>
    <w:lvl w:ilvl="0" w:tplc="FD566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25D"/>
    <w:multiLevelType w:val="hybridMultilevel"/>
    <w:tmpl w:val="765417E8"/>
    <w:lvl w:ilvl="0" w:tplc="D62019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4E63"/>
    <w:multiLevelType w:val="hybridMultilevel"/>
    <w:tmpl w:val="CACA55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5647"/>
    <w:multiLevelType w:val="hybridMultilevel"/>
    <w:tmpl w:val="3EACC25C"/>
    <w:lvl w:ilvl="0" w:tplc="FD566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855"/>
    <w:rsid w:val="0002641F"/>
    <w:rsid w:val="000272DF"/>
    <w:rsid w:val="00065C97"/>
    <w:rsid w:val="000A15D8"/>
    <w:rsid w:val="002F7D32"/>
    <w:rsid w:val="00453D0B"/>
    <w:rsid w:val="00614126"/>
    <w:rsid w:val="006D623D"/>
    <w:rsid w:val="00715FA3"/>
    <w:rsid w:val="007648F5"/>
    <w:rsid w:val="00806ACA"/>
    <w:rsid w:val="0086205F"/>
    <w:rsid w:val="009227EC"/>
    <w:rsid w:val="009279FE"/>
    <w:rsid w:val="00A074B6"/>
    <w:rsid w:val="00A520ED"/>
    <w:rsid w:val="00AA16DC"/>
    <w:rsid w:val="00B36B43"/>
    <w:rsid w:val="00BB2B60"/>
    <w:rsid w:val="00C35855"/>
    <w:rsid w:val="00CB1922"/>
    <w:rsid w:val="00CF15F9"/>
    <w:rsid w:val="00D2552E"/>
    <w:rsid w:val="00D56714"/>
    <w:rsid w:val="00D56E02"/>
    <w:rsid w:val="00DB12CD"/>
    <w:rsid w:val="00ED26B2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55"/>
  </w:style>
  <w:style w:type="paragraph" w:styleId="7">
    <w:name w:val="heading 7"/>
    <w:basedOn w:val="a"/>
    <w:next w:val="a"/>
    <w:link w:val="70"/>
    <w:qFormat/>
    <w:rsid w:val="0086205F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855"/>
    <w:pPr>
      <w:ind w:left="720"/>
      <w:contextualSpacing/>
    </w:pPr>
  </w:style>
  <w:style w:type="paragraph" w:customStyle="1" w:styleId="Default">
    <w:name w:val="Default"/>
    <w:rsid w:val="00C35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6439367313680690572xfm47050603">
    <w:name w:val="m_-6439367313680690572xfm_47050603"/>
    <w:basedOn w:val="a0"/>
    <w:rsid w:val="00C35855"/>
  </w:style>
  <w:style w:type="character" w:customStyle="1" w:styleId="rvts15">
    <w:name w:val="rvts15"/>
    <w:basedOn w:val="a0"/>
    <w:rsid w:val="0002641F"/>
  </w:style>
  <w:style w:type="character" w:customStyle="1" w:styleId="rvts0">
    <w:name w:val="rvts0"/>
    <w:basedOn w:val="a0"/>
    <w:rsid w:val="00F23949"/>
  </w:style>
  <w:style w:type="character" w:customStyle="1" w:styleId="70">
    <w:name w:val="Заголовок 7 Знак"/>
    <w:basedOn w:val="a0"/>
    <w:link w:val="7"/>
    <w:rsid w:val="008620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862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2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86205F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8620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6205F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86205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prepod</cp:lastModifiedBy>
  <cp:revision>25</cp:revision>
  <dcterms:created xsi:type="dcterms:W3CDTF">2020-11-28T14:16:00Z</dcterms:created>
  <dcterms:modified xsi:type="dcterms:W3CDTF">2020-11-30T09:00:00Z</dcterms:modified>
</cp:coreProperties>
</file>