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C01E26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="00C01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E26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C01E26" w:rsidRDefault="00C01E2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Фінансовий облік 1_______________________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C01E26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C01E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Облік і аудит__________________________________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A4352C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071 «Облік  і  оподаткування»___________________________________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A4352C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07 « Управління та   адміністрування»_______________________________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A4352C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A4352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0E7F" w:rsidTr="00D00E7F">
        <w:tc>
          <w:tcPr>
            <w:tcW w:w="4785" w:type="dxa"/>
          </w:tcPr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0E7F" w:rsidRDefault="00D00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D00E7F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4352C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43"/>
        <w:gridCol w:w="2164"/>
        <w:gridCol w:w="2795"/>
        <w:gridCol w:w="1813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C01E26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CC597D" w:rsidRPr="00CC597D" w:rsidRDefault="00CC597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1, ППН 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ED31B8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CC597D" w:rsidRPr="00ED31B8" w:rsidRDefault="00CC597D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075B94" w:rsidRPr="00075B94" w:rsidRDefault="00075B94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ED31B8" w:rsidRDefault="00ED31B8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 (061) 2698-286</w:t>
            </w:r>
            <w:r w:rsidR="00150361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D873C9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 </w:t>
            </w:r>
            <w:r w:rsidR="00D873C9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L.ocheret</w:t>
            </w:r>
            <w:r w:rsidRPr="00ED3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ED31B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D3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D3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75B94" w:rsidRPr="00ED31B8" w:rsidRDefault="00ED31B8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ED31B8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2E0FEC" w:rsidRPr="00ED3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D00E7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582BFC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семінарські, лабораторні, самостійна робота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</w:t>
            </w:r>
            <w:r w:rsidR="0021592F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заняття), вид контролю</w:t>
            </w:r>
            <w:r w:rsidR="00ED3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</w:t>
            </w:r>
          </w:p>
          <w:p w:rsidR="002E0FEC" w:rsidRPr="00582BFC" w:rsidRDefault="002E0FE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582BFC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582BFC" w:rsidRPr="00582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D00E7F" w:rsidTr="00196A23">
        <w:tc>
          <w:tcPr>
            <w:tcW w:w="9344" w:type="dxa"/>
            <w:gridSpan w:val="5"/>
          </w:tcPr>
          <w:p w:rsidR="00D33BC4" w:rsidRPr="00D33BC4" w:rsidRDefault="00ED31B8" w:rsidP="00D33BC4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Pr="007C607B">
              <w:rPr>
                <w:sz w:val="24"/>
              </w:rPr>
              <w:t>П</w:t>
            </w:r>
            <w:r w:rsidR="00034DCB" w:rsidRPr="00D33BC4">
              <w:rPr>
                <w:sz w:val="24"/>
              </w:rPr>
              <w:t>ерелік дисциплін, вивчення яких має передувати дисциплін</w:t>
            </w:r>
            <w:r w:rsidR="00582BFC" w:rsidRPr="00D33BC4">
              <w:rPr>
                <w:sz w:val="24"/>
              </w:rPr>
              <w:t xml:space="preserve"> «Економ</w:t>
            </w:r>
            <w:r w:rsidR="00D33BC4" w:rsidRPr="00D33BC4">
              <w:rPr>
                <w:sz w:val="24"/>
              </w:rPr>
              <w:t>і</w:t>
            </w:r>
            <w:r w:rsidR="00582BFC" w:rsidRPr="00D33BC4">
              <w:rPr>
                <w:sz w:val="24"/>
              </w:rPr>
              <w:t xml:space="preserve">ка підприємств», «Бухгалтерський облік» </w:t>
            </w:r>
            <w:r w:rsidRPr="007C607B">
              <w:rPr>
                <w:sz w:val="24"/>
              </w:rPr>
              <w:t>,</w:t>
            </w:r>
            <w:r w:rsidR="00034DCB" w:rsidRPr="00D33BC4">
              <w:rPr>
                <w:sz w:val="24"/>
              </w:rPr>
              <w:t xml:space="preserve"> конкретні теми</w:t>
            </w:r>
            <w:r w:rsidR="00582BFC" w:rsidRPr="00D33BC4">
              <w:rPr>
                <w:sz w:val="24"/>
              </w:rPr>
              <w:t xml:space="preserve"> :</w:t>
            </w:r>
            <w:r w:rsidR="00D33BC4" w:rsidRPr="00D33BC4">
              <w:rPr>
                <w:sz w:val="24"/>
              </w:rPr>
              <w:t xml:space="preserve">Облік основних засобів і нематеріальних активів,Облік виробничих запасів, </w:t>
            </w:r>
            <w:r w:rsidR="00D33BC4" w:rsidRPr="00D33BC4">
              <w:rPr>
                <w:sz w:val="22"/>
                <w:szCs w:val="22"/>
              </w:rPr>
              <w:t>Облік формування витрат виробництва і калькулювання собівартості продукції ( робіт , послуг);</w:t>
            </w:r>
            <w:r w:rsidR="00D33BC4" w:rsidRPr="00D33BC4">
              <w:t xml:space="preserve"> </w:t>
            </w:r>
            <w:r w:rsidR="00D33BC4" w:rsidRPr="00D33BC4">
              <w:rPr>
                <w:sz w:val="22"/>
                <w:szCs w:val="22"/>
              </w:rPr>
              <w:t>Облік грошових коштів;</w:t>
            </w:r>
          </w:p>
          <w:p w:rsidR="00086275" w:rsidRPr="00F77BB1" w:rsidRDefault="00582BFC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4DCB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34DCB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FB32B7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СК02 Використовувати математичний інструментарій для дослідження</w:t>
            </w:r>
            <w:r w:rsid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процесів,розв’</w:t>
            </w:r>
            <w:r w:rsidR="00E607A3" w:rsidRP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прикладних завдань в сфері обліку</w:t>
            </w:r>
            <w:r w:rsid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СК05 Проводити аналіз господарської діяльності підприємства з метою прийняття управлінських рішень</w:t>
            </w:r>
            <w:r w:rsid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D31B8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</w:t>
            </w:r>
            <w:r w:rsidR="00034DCB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для вивчення яких є обов'язковими знання, здобу</w:t>
            </w:r>
            <w:r w:rsidR="00D33BC4" w:rsidRPr="007C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при вивченні цієї</w:t>
            </w:r>
            <w:r w:rsidR="00D33BC4" w:rsidRPr="00F77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:Аудит, Податковий облік, Фінансова звітність.</w:t>
            </w:r>
          </w:p>
          <w:p w:rsidR="00582BFC" w:rsidRPr="00582BFC" w:rsidRDefault="00582BFC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77BB1" w:rsidRPr="00F77BB1" w:rsidRDefault="00F77BB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фінансового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F77BB1" w:rsidRPr="004130ED" w:rsidRDefault="00F77BB1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4130ED" w:rsidRDefault="00F92B58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58610F" w:rsidRPr="0058610F" w:rsidRDefault="0058610F" w:rsidP="0058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8610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58610F" w:rsidRPr="0058610F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610F" w:rsidRPr="0058610F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8610F" w:rsidRPr="00FC2AAD" w:rsidRDefault="0058610F" w:rsidP="0058610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58610F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463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7BB1" w:rsidRPr="0058610F" w:rsidRDefault="00F77BB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AAD" w:rsidRDefault="00FC2AAD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58610F" w:rsidRPr="0058610F" w:rsidRDefault="0058610F" w:rsidP="0058610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7001"/>
            </w:tblGrid>
            <w:tr w:rsidR="0058610F" w:rsidRPr="00607D60" w:rsidTr="00B445C2">
              <w:trPr>
                <w:trHeight w:val="62"/>
              </w:trPr>
              <w:tc>
                <w:tcPr>
                  <w:tcW w:w="2501" w:type="dxa"/>
                </w:tcPr>
                <w:p w:rsidR="0058610F" w:rsidRPr="00723E84" w:rsidRDefault="0058610F" w:rsidP="00B445C2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Компетенції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згідно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освітньої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Складові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компетентності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 w:val="restart"/>
                </w:tcPr>
                <w:p w:rsidR="0058610F" w:rsidRPr="001B28C8" w:rsidRDefault="0058610F" w:rsidP="0058610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СК02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соціальноекономічних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58610F" w:rsidRPr="001B28C8" w:rsidRDefault="0058610F" w:rsidP="0058610F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1B28C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58610F" w:rsidRPr="001B28C8" w:rsidRDefault="0058610F" w:rsidP="00B445C2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lastRenderedPageBreak/>
                    <w:t xml:space="preserve">1.Здатність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основи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побудови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фінансового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2.Здатність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lastRenderedPageBreak/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3.Здатність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4.Здатність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основних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засобів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5.Здатність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нематеріальних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6.Здатність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виробничих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палива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7. 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8.Здатність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сировини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матеріалів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готової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продукції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поточних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607D60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11.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виробництва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58610F" w:rsidRPr="002F5209" w:rsidTr="00B445C2">
              <w:trPr>
                <w:trHeight w:val="53"/>
              </w:trPr>
              <w:tc>
                <w:tcPr>
                  <w:tcW w:w="2501" w:type="dxa"/>
                  <w:vMerge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21" w:type="dxa"/>
                </w:tcPr>
                <w:p w:rsidR="0058610F" w:rsidRPr="00723E84" w:rsidRDefault="0058610F" w:rsidP="00B445C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23E84">
                    <w:rPr>
                      <w:rFonts w:ascii="Times New Roman" w:hAnsi="Times New Roman" w:cs="Times New Roman"/>
                    </w:rPr>
                    <w:t xml:space="preserve">12.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723E8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723E8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723E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23E84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</w:tbl>
          <w:p w:rsidR="0058610F" w:rsidRPr="0058610F" w:rsidRDefault="0058610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та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розрахункові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shd w:val="clear" w:color="auto" w:fill="FFFFFF"/>
              <w:tabs>
                <w:tab w:val="left" w:leader="dot" w:pos="9596"/>
              </w:tabs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витрачання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ind w:left="426" w:hanging="6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довгостроковими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tabs>
                <w:tab w:val="left" w:leader="dot" w:pos="9596"/>
              </w:tabs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72FE" w:rsidRPr="00FC2AAD" w:rsidRDefault="002172FE" w:rsidP="002172FE">
            <w:pPr>
              <w:shd w:val="clear" w:color="auto" w:fill="FFFFFF"/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витрачання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tabs>
                <w:tab w:val="left" w:leader="dot" w:pos="9596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, 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відпуску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порядку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поточними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інвестиціями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синтетичного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-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FC2AAD" w:rsidRDefault="002172FE" w:rsidP="002172FE">
            <w:pPr>
              <w:pStyle w:val="a4"/>
              <w:shd w:val="clear" w:color="auto" w:fill="FFFFFF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навичками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відображення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витратами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облікових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регістрах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2FE" w:rsidRPr="002172FE" w:rsidRDefault="002172FE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F92B58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ПРО 3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FC2AAD" w:rsidRDefault="003C3B27" w:rsidP="003C3B2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B27" w:rsidRPr="003C3B27" w:rsidRDefault="003C3B2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D00E7F" w:rsidTr="00196A23">
        <w:tc>
          <w:tcPr>
            <w:tcW w:w="9344" w:type="dxa"/>
            <w:gridSpan w:val="5"/>
          </w:tcPr>
          <w:p w:rsidR="00F92B58" w:rsidRPr="00ED31B8" w:rsidRDefault="00F92B58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B27" w:rsidRPr="00FC2AAD" w:rsidRDefault="00ED31B8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</w:t>
            </w:r>
            <w:r w:rsidR="003C3B27" w:rsidRPr="00FC2AA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адання знань щодо раціональної організації і ведення на підприємстві обліку активів на </w:t>
            </w:r>
            <w:r w:rsidR="003C3B27" w:rsidRPr="00FC2AA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підставі використання прогресивних форм і національних стандартів.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Default="00034DCB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63644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структура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навчальної дисципліни.</w:t>
            </w:r>
          </w:p>
          <w:p w:rsidR="003C3B27" w:rsidRDefault="003C3B27" w:rsidP="003C3B27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1. </w:t>
            </w:r>
            <w:proofErr w:type="spellStart"/>
            <w:r w:rsidRPr="008969C0">
              <w:t>Основи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побудови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фінансового</w:t>
            </w:r>
            <w:proofErr w:type="spellEnd"/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іку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2.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грошових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коштів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3.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4.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  <w:r w:rsidRPr="008969C0">
              <w:t xml:space="preserve"> </w:t>
            </w:r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5.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нематеріальних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активів</w:t>
            </w:r>
            <w:proofErr w:type="spellEnd"/>
          </w:p>
          <w:p w:rsidR="003C3B27" w:rsidRPr="008969C0" w:rsidRDefault="003C3B27" w:rsidP="003C3B27">
            <w:pPr>
              <w:ind w:firstLine="567"/>
              <w:jc w:val="both"/>
            </w:pPr>
            <w:r w:rsidRPr="008969C0">
              <w:t xml:space="preserve">Тема 6.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виробничих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запасів</w:t>
            </w:r>
            <w:proofErr w:type="spellEnd"/>
            <w:r>
              <w:t xml:space="preserve"> та </w:t>
            </w:r>
            <w:proofErr w:type="spellStart"/>
            <w:r>
              <w:t>палива</w:t>
            </w:r>
            <w:proofErr w:type="spellEnd"/>
          </w:p>
          <w:p w:rsidR="003C3B27" w:rsidRDefault="003C3B27" w:rsidP="003C3B27">
            <w:pPr>
              <w:ind w:firstLine="567"/>
              <w:jc w:val="both"/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</w:t>
            </w:r>
            <w:r>
              <w:rPr>
                <w:b/>
              </w:rPr>
              <w:t>2</w:t>
            </w:r>
            <w:r w:rsidRPr="00DF1F73">
              <w:rPr>
                <w:b/>
              </w:rPr>
              <w:t>.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1. Облік довгострокових фінансових інвестицій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2. Облік сировини і матеріалів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Тема 3. Облік </w:t>
            </w:r>
            <w:r w:rsidRPr="00823386">
              <w:rPr>
                <w:b w:val="0"/>
                <w:sz w:val="22"/>
                <w:szCs w:val="22"/>
              </w:rPr>
              <w:t xml:space="preserve"> готової продукції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4. Облік поточних фінансових інвестицій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5. Облік витрат виробництва</w:t>
            </w:r>
          </w:p>
          <w:p w:rsidR="003C3B27" w:rsidRPr="00823386" w:rsidRDefault="003C3B27" w:rsidP="003C3B2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Тема 6. Облік витрат майбутніх періодів</w:t>
            </w:r>
          </w:p>
          <w:p w:rsidR="003C3B27" w:rsidRPr="004130ED" w:rsidRDefault="003C3B2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9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BB6298" w:rsidRPr="008969C0" w:rsidRDefault="00BB6298" w:rsidP="00BB6298">
            <w:pPr>
              <w:ind w:firstLine="567"/>
              <w:jc w:val="both"/>
            </w:pPr>
            <w:r w:rsidRPr="008969C0">
              <w:t xml:space="preserve">. </w:t>
            </w:r>
            <w:proofErr w:type="spellStart"/>
            <w:r w:rsidRPr="008969C0">
              <w:t>Основи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побудови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фінансового</w:t>
            </w:r>
            <w:proofErr w:type="spellEnd"/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іку</w:t>
            </w:r>
            <w:proofErr w:type="spellEnd"/>
          </w:p>
          <w:p w:rsidR="00034DCB" w:rsidRPr="004130ED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034DCB" w:rsidRPr="004130ED" w:rsidRDefault="00BB62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034DCB" w:rsidRPr="00BB6298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18684E" w:rsidRPr="004130ED" w:rsidRDefault="00BB6298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грошових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коштів</w:t>
            </w:r>
            <w:proofErr w:type="spellEnd"/>
          </w:p>
        </w:tc>
        <w:tc>
          <w:tcPr>
            <w:tcW w:w="2237" w:type="dxa"/>
          </w:tcPr>
          <w:p w:rsidR="0018684E" w:rsidRPr="004130ED" w:rsidRDefault="00BB6298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практичні заняття </w:t>
            </w:r>
          </w:p>
        </w:tc>
        <w:tc>
          <w:tcPr>
            <w:tcW w:w="1377" w:type="dxa"/>
          </w:tcPr>
          <w:p w:rsidR="0018684E" w:rsidRPr="00BB6298" w:rsidRDefault="00BB62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BB6298" w:rsidRPr="008969C0" w:rsidRDefault="00BB6298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18684E" w:rsidRPr="004130ED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Pr="004130ED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18684E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445C2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дебіторської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заборгованості</w:t>
            </w:r>
            <w:proofErr w:type="spellEnd"/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rPr>
                <w:lang w:val="en-US"/>
              </w:rPr>
              <w:t>і</w:t>
            </w:r>
            <w:r w:rsidRPr="008969C0">
              <w:t xml:space="preserve">к </w:t>
            </w:r>
            <w:proofErr w:type="spellStart"/>
            <w:r w:rsidRPr="008969C0">
              <w:t>основних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засобів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445C2">
            <w:pPr>
              <w:ind w:firstLine="567"/>
              <w:jc w:val="both"/>
            </w:pPr>
            <w:r w:rsidRPr="008969C0">
              <w:t xml:space="preserve"> </w:t>
            </w: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нематеріальних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активів</w:t>
            </w:r>
            <w:proofErr w:type="spellEnd"/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5" w:type="dxa"/>
            <w:gridSpan w:val="2"/>
          </w:tcPr>
          <w:p w:rsidR="00B445C2" w:rsidRPr="008969C0" w:rsidRDefault="00B445C2" w:rsidP="00BB6298">
            <w:pPr>
              <w:ind w:firstLine="567"/>
              <w:jc w:val="both"/>
            </w:pPr>
            <w:proofErr w:type="spellStart"/>
            <w:proofErr w:type="gramStart"/>
            <w:r w:rsidRPr="008969C0">
              <w:t>Обл</w:t>
            </w:r>
            <w:proofErr w:type="gramEnd"/>
            <w:r w:rsidRPr="008969C0">
              <w:t>ік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виробничих</w:t>
            </w:r>
            <w:proofErr w:type="spellEnd"/>
            <w:r w:rsidRPr="008969C0">
              <w:t xml:space="preserve"> </w:t>
            </w:r>
            <w:proofErr w:type="spellStart"/>
            <w:r w:rsidRPr="008969C0">
              <w:t>запасів</w:t>
            </w:r>
            <w:proofErr w:type="spellEnd"/>
            <w:r>
              <w:t xml:space="preserve"> та </w:t>
            </w:r>
            <w:proofErr w:type="spellStart"/>
            <w:r>
              <w:t>палива</w:t>
            </w:r>
            <w:proofErr w:type="spellEnd"/>
          </w:p>
        </w:tc>
        <w:tc>
          <w:tcPr>
            <w:tcW w:w="2237" w:type="dxa"/>
          </w:tcPr>
          <w:p w:rsidR="00B445C2" w:rsidRDefault="00B445C2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. Облік довгострокових фінансових інвестицій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P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. Облік довгострокових фінансових інвестицій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сировини</w:t>
            </w:r>
            <w:proofErr w:type="spellEnd"/>
            <w:r w:rsidRPr="00173098">
              <w:t xml:space="preserve"> і </w:t>
            </w:r>
            <w:proofErr w:type="spellStart"/>
            <w:r w:rsidRPr="00173098">
              <w:t>матеріалів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Облік </w:t>
            </w:r>
            <w:r w:rsidRPr="00823386">
              <w:rPr>
                <w:b w:val="0"/>
                <w:sz w:val="22"/>
                <w:szCs w:val="22"/>
              </w:rPr>
              <w:t xml:space="preserve"> готової продукції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поточних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фінансових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інвестицій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15" w:type="dxa"/>
            <w:gridSpan w:val="2"/>
          </w:tcPr>
          <w:p w:rsidR="00B445C2" w:rsidRPr="00173098" w:rsidRDefault="00173098" w:rsidP="00BB6298">
            <w:pPr>
              <w:ind w:firstLine="567"/>
              <w:jc w:val="both"/>
            </w:pPr>
            <w:proofErr w:type="spellStart"/>
            <w:proofErr w:type="gramStart"/>
            <w:r w:rsidRPr="00173098">
              <w:t>Обл</w:t>
            </w:r>
            <w:proofErr w:type="gramEnd"/>
            <w:r w:rsidRPr="00173098">
              <w:t>ік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витрат</w:t>
            </w:r>
            <w:proofErr w:type="spellEnd"/>
            <w:r w:rsidRPr="00173098">
              <w:t xml:space="preserve"> </w:t>
            </w:r>
            <w:proofErr w:type="spellStart"/>
            <w:r w:rsidRPr="00173098">
              <w:t>виробництва</w:t>
            </w:r>
            <w:proofErr w:type="spellEnd"/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B445C2" w:rsidRPr="008D13E8" w:rsidTr="00196A23">
        <w:tc>
          <w:tcPr>
            <w:tcW w:w="915" w:type="dxa"/>
          </w:tcPr>
          <w:p w:rsidR="00B445C2" w:rsidRDefault="00B445C2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815" w:type="dxa"/>
            <w:gridSpan w:val="2"/>
          </w:tcPr>
          <w:p w:rsidR="00173098" w:rsidRPr="00823386" w:rsidRDefault="00173098" w:rsidP="00173098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823386">
              <w:rPr>
                <w:b w:val="0"/>
                <w:sz w:val="22"/>
                <w:szCs w:val="22"/>
              </w:rPr>
              <w:t>Облік витрат майбутніх періодів</w:t>
            </w:r>
          </w:p>
          <w:p w:rsidR="00B445C2" w:rsidRPr="008969C0" w:rsidRDefault="00B445C2" w:rsidP="00BB6298">
            <w:pPr>
              <w:ind w:firstLine="567"/>
              <w:jc w:val="both"/>
            </w:pPr>
          </w:p>
        </w:tc>
        <w:tc>
          <w:tcPr>
            <w:tcW w:w="2237" w:type="dxa"/>
          </w:tcPr>
          <w:p w:rsidR="00B445C2" w:rsidRDefault="0017309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B445C2" w:rsidRPr="00173098" w:rsidRDefault="0017309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AAD" w:rsidRP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1» є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1»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AD" w:rsidRPr="00FC2AAD" w:rsidRDefault="00FC2AAD" w:rsidP="00FC2AAD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FC2AAD" w:rsidRPr="00FC2AAD" w:rsidRDefault="00FC2AAD" w:rsidP="00FC2AAD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AAD" w:rsidRPr="00321049" w:rsidRDefault="00FC2AAD" w:rsidP="00FC2AAD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AAD" w:rsidRPr="00321049" w:rsidRDefault="00FC2AAD" w:rsidP="00FC2AAD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78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1034"/>
              <w:gridCol w:w="1035"/>
            </w:tblGrid>
            <w:tr w:rsidR="00FC2AAD" w:rsidRPr="00321049" w:rsidTr="00B445C2">
              <w:tc>
                <w:tcPr>
                  <w:tcW w:w="706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2069" w:type="dxa"/>
                  <w:gridSpan w:val="2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321049" w:rsidTr="00B445C2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Основи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побудови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фінансового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іку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грошових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коштів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дебіторської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bCs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основних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  <w:spacing w:val="1"/>
                    </w:rPr>
                    <w:t>засобів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нематеріальних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виробничих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палива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сировини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матеріалів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готової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продукції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виробництва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6F4266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FC2AAD" w:rsidRPr="00321049" w:rsidTr="00B445C2"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FC2AAD" w:rsidRPr="00321049" w:rsidTr="00B445C2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5D7E85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035" w:type="dxa"/>
                  <w:shd w:val="clear" w:color="auto" w:fill="auto"/>
                </w:tcPr>
                <w:p w:rsidR="00FC2AAD" w:rsidRPr="005D7E85" w:rsidRDefault="00FC2AAD" w:rsidP="00B445C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</w:tr>
          </w:tbl>
          <w:p w:rsidR="00FC2AAD" w:rsidRPr="00545A45" w:rsidRDefault="00FC2AAD" w:rsidP="00FC2AAD">
            <w:pPr>
              <w:spacing w:line="360" w:lineRule="auto"/>
              <w:ind w:firstLine="284"/>
              <w:jc w:val="center"/>
            </w:pPr>
          </w:p>
          <w:p w:rsidR="00FC2AAD" w:rsidRPr="00C76559" w:rsidRDefault="00FC2AAD" w:rsidP="00FC2A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D" w:rsidRPr="00321049" w:rsidRDefault="00FC2AAD" w:rsidP="00FC2AAD">
            <w:pPr>
              <w:tabs>
                <w:tab w:val="center" w:pos="5314"/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AD" w:rsidRPr="00FC2AAD" w:rsidRDefault="00FC2AAD" w:rsidP="00FC2AAD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FC2AAD" w:rsidRPr="00FC2AAD" w:rsidRDefault="00FC2AAD" w:rsidP="00FC2AAD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FC2AAD" w:rsidRPr="00FC2AAD" w:rsidRDefault="00FC2AAD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B65691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C2AAD" w:rsidRPr="004130ED" w:rsidRDefault="00FC2AAD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FC2AAD" w:rsidRPr="00FC2AAD" w:rsidRDefault="00FC2AAD" w:rsidP="00FC2AAD">
            <w:pPr>
              <w:pStyle w:val="a4"/>
              <w:tabs>
                <w:tab w:val="left" w:pos="1560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AD" w:rsidRP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13.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</w:t>
            </w:r>
            <w:proofErr w:type="gramStart"/>
            <w:r w:rsidRPr="00FC2A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Кожен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змістовний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оцінюється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100-бальною шкалою. </w:t>
            </w:r>
          </w:p>
          <w:p w:rsidR="00FC2AAD" w:rsidRPr="00FC2AAD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ід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 контролю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враховуючи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наступні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види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робіт</w:t>
            </w:r>
            <w:proofErr w:type="spellEnd"/>
            <w:r w:rsidRPr="00FC2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C2AAD" w:rsidRPr="00A32D94" w:rsidRDefault="00FC2AAD" w:rsidP="00FC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"/>
              <w:gridCol w:w="2167"/>
              <w:gridCol w:w="2066"/>
              <w:gridCol w:w="1801"/>
              <w:gridCol w:w="1657"/>
              <w:gridCol w:w="1513"/>
            </w:tblGrid>
            <w:tr w:rsidR="00FC2AAD" w:rsidRPr="00396484" w:rsidTr="00B445C2">
              <w:tc>
                <w:tcPr>
                  <w:tcW w:w="652" w:type="dxa"/>
                  <w:vMerge w:val="restart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2167" w:type="dxa"/>
                  <w:vMerge w:val="restart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навчальна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7037" w:type="dxa"/>
                  <w:gridSpan w:val="4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FC2AAD" w:rsidRPr="00396484" w:rsidTr="00B445C2">
              <w:tc>
                <w:tcPr>
                  <w:tcW w:w="652" w:type="dxa"/>
                  <w:vMerge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  <w:vMerge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Опанування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практичними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навичками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Тестовий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контроль</w:t>
                  </w: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Контрольна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Разом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модуль 1(8 лекц.,8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ан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30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2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3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4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Тема 5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Тема 6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модуль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2 (7 лекц.,7</w:t>
                  </w:r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практ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зан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 xml:space="preserve">      30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>40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7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8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9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10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11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Тема 12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5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15  </w:t>
                  </w:r>
                </w:p>
              </w:tc>
            </w:tr>
            <w:tr w:rsidR="00FC2AAD" w:rsidRPr="00396484" w:rsidTr="00B445C2">
              <w:tc>
                <w:tcPr>
                  <w:tcW w:w="652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Разом</w:t>
                  </w:r>
                </w:p>
              </w:tc>
              <w:tc>
                <w:tcPr>
                  <w:tcW w:w="2066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 xml:space="preserve">       60</w:t>
                  </w:r>
                </w:p>
              </w:tc>
              <w:tc>
                <w:tcPr>
                  <w:tcW w:w="1801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657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13" w:type="dxa"/>
                </w:tcPr>
                <w:p w:rsidR="00FC2AAD" w:rsidRPr="005D7E85" w:rsidRDefault="00FC2AAD" w:rsidP="00B445C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200/2=100</w:t>
                  </w:r>
                </w:p>
              </w:tc>
            </w:tr>
          </w:tbl>
          <w:p w:rsid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2AAD" w:rsidRP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ідсумковий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визначається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середня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двох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контролів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за перший та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другий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змістовні</w:t>
            </w:r>
            <w:proofErr w:type="spellEnd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hAnsi="Times New Roman"/>
                <w:bCs/>
                <w:sz w:val="24"/>
                <w:szCs w:val="24"/>
              </w:rPr>
              <w:t>модулі</w:t>
            </w:r>
            <w:proofErr w:type="spellEnd"/>
          </w:p>
          <w:p w:rsidR="00FC2AAD" w:rsidRPr="00FC2AAD" w:rsidRDefault="00FC2AAD" w:rsidP="00FC2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AAD" w:rsidRPr="005D7E85" w:rsidRDefault="00FC2AAD" w:rsidP="00FC2AA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Розподіл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отримують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</w:t>
            </w:r>
            <w:proofErr w:type="gram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поточному</w:t>
            </w:r>
            <w:proofErr w:type="gram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оцінюванні</w:t>
            </w:r>
            <w:proofErr w:type="spellEnd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знань</w:t>
            </w:r>
            <w:proofErr w:type="spellEnd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екзамен</w:t>
            </w:r>
            <w:proofErr w:type="spellEnd"/>
            <w:r w:rsidRPr="005D7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630"/>
              <w:gridCol w:w="567"/>
              <w:gridCol w:w="709"/>
              <w:gridCol w:w="618"/>
              <w:gridCol w:w="1701"/>
              <w:gridCol w:w="879"/>
            </w:tblGrid>
            <w:tr w:rsidR="00FC2AAD" w:rsidRPr="00B8206A" w:rsidTr="00B445C2">
              <w:tc>
                <w:tcPr>
                  <w:tcW w:w="3396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3658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D7E85">
                    <w:rPr>
                      <w:rFonts w:ascii="Times New Roman" w:hAnsi="Times New Roman" w:cs="Times New Roman"/>
                    </w:rPr>
                    <w:t>ідсумковий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79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Сума</w:t>
                  </w:r>
                </w:p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B8206A" w:rsidTr="00B445C2">
              <w:tc>
                <w:tcPr>
                  <w:tcW w:w="3396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модуль 1</w:t>
                  </w:r>
                </w:p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8" w:type="dxa"/>
                  <w:gridSpan w:val="6"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7E85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5D7E85">
                    <w:rPr>
                      <w:rFonts w:ascii="Times New Roman" w:hAnsi="Times New Roman" w:cs="Times New Roman"/>
                    </w:rPr>
                    <w:t xml:space="preserve"> модуль 2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9" w:type="dxa"/>
                  <w:vMerge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B8206A" w:rsidTr="00B445C2">
              <w:trPr>
                <w:trHeight w:val="819"/>
              </w:trPr>
              <w:tc>
                <w:tcPr>
                  <w:tcW w:w="561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5D7E85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879" w:type="dxa"/>
                  <w:vMerge w:val="restart"/>
                  <w:shd w:val="clear" w:color="auto" w:fill="auto"/>
                  <w:vAlign w:val="center"/>
                </w:tcPr>
                <w:p w:rsidR="00FC2AAD" w:rsidRPr="005D7E85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7E8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C2AAD" w:rsidRPr="00B8206A" w:rsidTr="00B445C2">
              <w:trPr>
                <w:trHeight w:val="547"/>
              </w:trPr>
              <w:tc>
                <w:tcPr>
                  <w:tcW w:w="561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2AAD" w:rsidRPr="00B8206A" w:rsidRDefault="00FC2AAD" w:rsidP="00B445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2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9" w:type="dxa"/>
                  <w:vMerge/>
                  <w:shd w:val="clear" w:color="auto" w:fill="auto"/>
                </w:tcPr>
                <w:p w:rsidR="00FC2AAD" w:rsidRPr="00B8206A" w:rsidRDefault="00FC2AAD" w:rsidP="00B445C2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2AAD" w:rsidRPr="00FC2AAD" w:rsidRDefault="00FC2AAD" w:rsidP="00FC2AA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Т2 ... Т12 – теми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C2A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2AAD" w:rsidRPr="00FC2AAD" w:rsidRDefault="00FC2AAD" w:rsidP="00FC2AA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AAD" w:rsidRDefault="00FC2AAD" w:rsidP="00FC2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2AAD" w:rsidRPr="00F87354" w:rsidRDefault="00FC2AAD" w:rsidP="00FC2A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FC2AAD" w:rsidRPr="00F87354" w:rsidTr="00B445C2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116B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FC2AAD" w:rsidRPr="00F87354" w:rsidTr="00B445C2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FC2AAD" w:rsidRPr="00F87354" w:rsidTr="00B445C2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8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7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70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60 – 6</w:t>
                  </w: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AAD" w:rsidRPr="00F87354" w:rsidTr="00B445C2"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FC2AAD" w:rsidRPr="00F87354" w:rsidTr="00B445C2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FC2AAD" w:rsidRPr="00C116BE" w:rsidRDefault="00FC2AAD" w:rsidP="00B445C2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C116B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16B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FC2AAD" w:rsidRPr="00C116BE" w:rsidRDefault="00FC2AAD" w:rsidP="00B44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16B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116BE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C116B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C116B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16B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FC2AAD" w:rsidRPr="00F87354" w:rsidRDefault="00FC2AAD" w:rsidP="00FC2A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C2AAD" w:rsidRDefault="00FC2AAD" w:rsidP="00FC2AAD">
            <w:pPr>
              <w:tabs>
                <w:tab w:val="left" w:pos="29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747" w:rsidRPr="00FC2AA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B6298" w:rsidRPr="007C6CAE" w:rsidRDefault="00BB6298" w:rsidP="00BB6298">
            <w:pPr>
              <w:ind w:firstLine="540"/>
              <w:jc w:val="both"/>
            </w:pPr>
            <w:proofErr w:type="spellStart"/>
            <w:r w:rsidRPr="007C6CAE">
              <w:t>Згідно</w:t>
            </w:r>
            <w:proofErr w:type="spellEnd"/>
            <w:r w:rsidRPr="007C6CAE">
              <w:t xml:space="preserve"> з </w:t>
            </w:r>
            <w:proofErr w:type="spellStart"/>
            <w:r w:rsidRPr="007C6CAE">
              <w:t>вимогами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освітньо-професійної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програми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студенти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повинні</w:t>
            </w:r>
            <w:proofErr w:type="spellEnd"/>
            <w:r w:rsidRPr="007C6CAE">
              <w:t>:</w:t>
            </w:r>
          </w:p>
          <w:p w:rsidR="00BB6298" w:rsidRDefault="00BB6298" w:rsidP="00BB6298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знати</w:t>
            </w:r>
            <w:r w:rsidRPr="007C6CAE">
              <w:rPr>
                <w:b/>
                <w:bCs/>
                <w:i/>
                <w:iCs/>
              </w:rPr>
              <w:t>:</w:t>
            </w:r>
          </w:p>
          <w:p w:rsidR="00BB6298" w:rsidRDefault="00BB6298" w:rsidP="00BB6298">
            <w:pPr>
              <w:ind w:firstLine="540"/>
              <w:jc w:val="both"/>
              <w:rPr>
                <w:b/>
                <w:bCs/>
                <w:i/>
                <w:iCs/>
              </w:rPr>
            </w:pPr>
          </w:p>
          <w:p w:rsidR="00BB6298" w:rsidRPr="00DD5D32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 w:rsidRPr="00DD5D32">
              <w:rPr>
                <w:sz w:val="22"/>
                <w:szCs w:val="22"/>
              </w:rPr>
              <w:t>-</w:t>
            </w:r>
            <w:r w:rsidRPr="00DD5D32">
              <w:rPr>
                <w:sz w:val="22"/>
                <w:szCs w:val="22"/>
              </w:rPr>
              <w:tab/>
              <w:t>основи побудови фінансового обліку;</w:t>
            </w:r>
          </w:p>
          <w:p w:rsidR="00BB6298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 w:rsidRPr="00DD5D32">
              <w:rPr>
                <w:sz w:val="22"/>
                <w:szCs w:val="22"/>
              </w:rPr>
              <w:t>-</w:t>
            </w:r>
            <w:r w:rsidRPr="00DD5D32">
              <w:rPr>
                <w:sz w:val="22"/>
                <w:szCs w:val="22"/>
              </w:rPr>
              <w:tab/>
              <w:t xml:space="preserve">теорію та практику ведення обліку грошових коштів, фінансових інвестицій, дебіторської </w:t>
            </w:r>
          </w:p>
          <w:p w:rsidR="00BB6298" w:rsidRPr="007C6CAE" w:rsidRDefault="00BB6298" w:rsidP="00BB629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заборгованості, запасів та витрат.</w:t>
            </w:r>
          </w:p>
          <w:p w:rsidR="00BB6298" w:rsidRPr="007C6CAE" w:rsidRDefault="00BB6298" w:rsidP="00BB6298">
            <w:pPr>
              <w:ind w:left="567" w:firstLine="567"/>
              <w:jc w:val="both"/>
            </w:pPr>
            <w:proofErr w:type="spellStart"/>
            <w:r w:rsidRPr="007C6CAE">
              <w:rPr>
                <w:b/>
                <w:bCs/>
                <w:i/>
                <w:iCs/>
              </w:rPr>
              <w:t>вміти</w:t>
            </w:r>
            <w:proofErr w:type="spellEnd"/>
            <w:r w:rsidRPr="00922936">
              <w:rPr>
                <w:b/>
                <w:i/>
              </w:rPr>
              <w:t>:</w:t>
            </w:r>
            <w:r w:rsidRPr="00DD5D32">
              <w:t xml:space="preserve"> </w:t>
            </w:r>
          </w:p>
          <w:p w:rsidR="00BB6298" w:rsidRPr="007C6CAE" w:rsidRDefault="00BB6298" w:rsidP="00BB6298">
            <w:pPr>
              <w:ind w:left="900"/>
              <w:jc w:val="both"/>
            </w:pPr>
            <w:r w:rsidRPr="00B233DF">
              <w:t>-</w:t>
            </w:r>
            <w:r w:rsidRPr="00B233DF">
              <w:tab/>
            </w:r>
            <w:proofErr w:type="spellStart"/>
            <w:r w:rsidRPr="00B233DF">
              <w:t>раціонально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організовувати</w:t>
            </w:r>
            <w:proofErr w:type="spellEnd"/>
            <w:r w:rsidRPr="00B233DF">
              <w:t xml:space="preserve"> і вести на </w:t>
            </w:r>
            <w:proofErr w:type="spellStart"/>
            <w:proofErr w:type="gramStart"/>
            <w:r w:rsidRPr="00B233DF">
              <w:t>п</w:t>
            </w:r>
            <w:proofErr w:type="gramEnd"/>
            <w:r w:rsidRPr="00B233DF">
              <w:t>ідприємстві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облік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активів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із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використанням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прогресивних</w:t>
            </w:r>
            <w:proofErr w:type="spellEnd"/>
            <w:r w:rsidRPr="00B233DF">
              <w:t xml:space="preserve"> форм </w:t>
            </w:r>
            <w:proofErr w:type="spellStart"/>
            <w:r w:rsidRPr="00B233DF">
              <w:t>обліку</w:t>
            </w:r>
            <w:proofErr w:type="spellEnd"/>
            <w:r w:rsidRPr="00B233DF">
              <w:t xml:space="preserve"> та </w:t>
            </w:r>
            <w:proofErr w:type="spellStart"/>
            <w:r w:rsidRPr="00B233DF">
              <w:t>національних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стандартів</w:t>
            </w:r>
            <w:proofErr w:type="spellEnd"/>
            <w:r w:rsidRPr="00B233DF">
              <w:t xml:space="preserve"> </w:t>
            </w:r>
            <w:proofErr w:type="spellStart"/>
            <w:r w:rsidRPr="00B233DF">
              <w:t>обліку</w:t>
            </w:r>
            <w:proofErr w:type="spellEnd"/>
            <w:r w:rsidRPr="00B233DF">
              <w:t>.</w:t>
            </w:r>
          </w:p>
          <w:p w:rsidR="00EA2C2A" w:rsidRPr="00BB6298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2804DA"/>
    <w:multiLevelType w:val="hybridMultilevel"/>
    <w:tmpl w:val="96F48300"/>
    <w:lvl w:ilvl="0" w:tplc="428457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75B94"/>
    <w:rsid w:val="00086275"/>
    <w:rsid w:val="000F4B4F"/>
    <w:rsid w:val="00132747"/>
    <w:rsid w:val="00150361"/>
    <w:rsid w:val="00172845"/>
    <w:rsid w:val="00173098"/>
    <w:rsid w:val="0018684E"/>
    <w:rsid w:val="001967CA"/>
    <w:rsid w:val="00196A23"/>
    <w:rsid w:val="0021592F"/>
    <w:rsid w:val="002172FE"/>
    <w:rsid w:val="002B0109"/>
    <w:rsid w:val="002E0FEC"/>
    <w:rsid w:val="003C3B27"/>
    <w:rsid w:val="004130ED"/>
    <w:rsid w:val="004277CC"/>
    <w:rsid w:val="00574656"/>
    <w:rsid w:val="00574812"/>
    <w:rsid w:val="00582BFC"/>
    <w:rsid w:val="0058610F"/>
    <w:rsid w:val="005E50F9"/>
    <w:rsid w:val="006658D5"/>
    <w:rsid w:val="00721D66"/>
    <w:rsid w:val="007C607B"/>
    <w:rsid w:val="00844AC7"/>
    <w:rsid w:val="00860EF1"/>
    <w:rsid w:val="0087443C"/>
    <w:rsid w:val="00885523"/>
    <w:rsid w:val="008B543A"/>
    <w:rsid w:val="008D13E8"/>
    <w:rsid w:val="009142E6"/>
    <w:rsid w:val="00990DCE"/>
    <w:rsid w:val="009C071B"/>
    <w:rsid w:val="00A4352C"/>
    <w:rsid w:val="00B445C2"/>
    <w:rsid w:val="00B65691"/>
    <w:rsid w:val="00BB6298"/>
    <w:rsid w:val="00BC4BB4"/>
    <w:rsid w:val="00BC708D"/>
    <w:rsid w:val="00C01E26"/>
    <w:rsid w:val="00C6086E"/>
    <w:rsid w:val="00C63644"/>
    <w:rsid w:val="00C85185"/>
    <w:rsid w:val="00CC597D"/>
    <w:rsid w:val="00D00E7F"/>
    <w:rsid w:val="00D0519E"/>
    <w:rsid w:val="00D33BC4"/>
    <w:rsid w:val="00D80D3F"/>
    <w:rsid w:val="00D8629C"/>
    <w:rsid w:val="00D873C9"/>
    <w:rsid w:val="00E064E9"/>
    <w:rsid w:val="00E607A3"/>
    <w:rsid w:val="00EA2C2A"/>
    <w:rsid w:val="00ED31B8"/>
    <w:rsid w:val="00EF7870"/>
    <w:rsid w:val="00F041D7"/>
    <w:rsid w:val="00F77BB1"/>
    <w:rsid w:val="00F92B58"/>
    <w:rsid w:val="00FB32B7"/>
    <w:rsid w:val="00FC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3C3B2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33B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D33B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3B2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0150-75C6-43FB-B605-619EE8B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14</cp:revision>
  <cp:lastPrinted>2020-02-26T08:20:00Z</cp:lastPrinted>
  <dcterms:created xsi:type="dcterms:W3CDTF">2020-07-13T17:14:00Z</dcterms:created>
  <dcterms:modified xsi:type="dcterms:W3CDTF">2020-11-30T08:57:00Z</dcterms:modified>
</cp:coreProperties>
</file>