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1" w:rsidRPr="00126316" w:rsidRDefault="00864AE1" w:rsidP="00864A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864AE1" w:rsidRPr="00126316" w:rsidRDefault="00864AE1" w:rsidP="00864A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НАЦІОНАЛЬНИЙ УНІВЕРСИТЕТ «ЗАПОРІЗЬКА ПОЛІТЕХНІКА»</w:t>
      </w:r>
    </w:p>
    <w:p w:rsidR="00864AE1" w:rsidRPr="00126316" w:rsidRDefault="00864AE1" w:rsidP="00864A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Кафедра</w:t>
      </w: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__________________</w:t>
      </w:r>
      <w:r w:rsidRPr="0012631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ОБЛІК І ОПОДАТКУВАННЯ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____________________</w:t>
      </w: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AE1" w:rsidRPr="00126316" w:rsidRDefault="00864AE1" w:rsidP="00864A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СИЛАБУС НАВЧАЛЬНОЇ ДИСЦИПЛІНИ</w:t>
      </w: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</w:t>
      </w:r>
      <w:r w:rsidRPr="00995406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А</w:t>
      </w:r>
      <w:r w:rsidR="00B06A28" w:rsidRPr="00995406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удит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="00DC03B2">
        <w:rPr>
          <w:rFonts w:ascii="Times New Roman" w:hAnsi="Times New Roman" w:cs="Times New Roman"/>
          <w:bCs/>
          <w:sz w:val="24"/>
          <w:szCs w:val="24"/>
          <w:lang w:val="uk-UA"/>
        </w:rPr>
        <w:t>___________</w:t>
      </w:r>
      <w:r w:rsidR="00995406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864AE1" w:rsidRPr="00126316" w:rsidRDefault="00864AE1" w:rsidP="00864AE1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(назва навчальної дисципліни)</w:t>
      </w:r>
    </w:p>
    <w:p w:rsidR="00864AE1" w:rsidRPr="00126316" w:rsidRDefault="00864AE1" w:rsidP="0086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Pr="00126316">
        <w:rPr>
          <w:rFonts w:ascii="Times New Roman" w:hAnsi="Times New Roman" w:cs="Times New Roman"/>
          <w:sz w:val="24"/>
          <w:szCs w:val="24"/>
        </w:rPr>
        <w:t>_____________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Облік і аудит</w:t>
      </w:r>
      <w:r w:rsidRPr="0012631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(назва освітньої програми)</w:t>
      </w:r>
    </w:p>
    <w:p w:rsidR="00864AE1" w:rsidRPr="00126316" w:rsidRDefault="00864AE1" w:rsidP="0086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>Спеціальність: _______________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071 «Облік і оподаткування»</w:t>
      </w:r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спеціальності)</w:t>
      </w:r>
    </w:p>
    <w:p w:rsidR="00864AE1" w:rsidRPr="00126316" w:rsidRDefault="00864AE1" w:rsidP="0086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>Галузь знань: _______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07 «Управління та адміністрування»</w:t>
      </w:r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галузі знань)</w:t>
      </w:r>
    </w:p>
    <w:p w:rsidR="00864AE1" w:rsidRPr="00126316" w:rsidRDefault="00864AE1" w:rsidP="0086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Ступінь вищої освіти: </w:t>
      </w:r>
      <w:proofErr w:type="spellStart"/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</w:t>
      </w:r>
      <w:proofErr w:type="spellEnd"/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вр</w:t>
      </w:r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="00DC03B2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64AE1" w:rsidRPr="00126316" w:rsidRDefault="00864AE1" w:rsidP="00864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(назва ступеня вищої освіти)</w:t>
      </w:r>
    </w:p>
    <w:p w:rsidR="00864AE1" w:rsidRPr="00126316" w:rsidRDefault="00864AE1" w:rsidP="0086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2196E" w:rsidTr="0052196E">
        <w:tc>
          <w:tcPr>
            <w:tcW w:w="4785" w:type="dxa"/>
          </w:tcPr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«Обліку і оподаткування»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(найменування кафедри)</w:t>
            </w:r>
          </w:p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96E" w:rsidRDefault="00521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 від 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.08.2020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 р.</w:t>
            </w:r>
          </w:p>
        </w:tc>
      </w:tr>
    </w:tbl>
    <w:p w:rsidR="00864AE1" w:rsidRPr="0052196E" w:rsidRDefault="00864AE1" w:rsidP="00864A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>м. Запоріжжя 2020 р.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2234"/>
        <w:gridCol w:w="2165"/>
        <w:gridCol w:w="2699"/>
        <w:gridCol w:w="1745"/>
      </w:tblGrid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864AE1" w:rsidRPr="007A1D01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«Аудит» відповідає робочому навчальному плану, код з освітньої програми – </w:t>
            </w:r>
            <w:r w:rsidR="00957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ППН </w:t>
            </w:r>
            <w:r w:rsidR="007A1D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обов’язкова.</w:t>
            </w:r>
          </w:p>
        </w:tc>
      </w:tr>
      <w:tr w:rsidR="00864AE1" w:rsidRPr="00126316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864AE1" w:rsidRPr="0052196E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Візіренко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Вікторівна,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 кафедри обліку і аудиту, </w:t>
            </w:r>
            <w:r w:rsidR="009B2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посада: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обліку і оподаткування</w:t>
            </w:r>
          </w:p>
        </w:tc>
      </w:tr>
      <w:tr w:rsidR="00864AE1" w:rsidRPr="00126316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кафедри:</w:t>
            </w:r>
            <w:r w:rsidRPr="0012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+380(61)7698286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6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263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26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1263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263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26316">
              <w:rPr>
                <w:rFonts w:ascii="Times New Roman" w:hAnsi="Times New Roman"/>
                <w:sz w:val="24"/>
                <w:szCs w:val="24"/>
                <w:lang w:val="en-US"/>
              </w:rPr>
              <w:t>vizirenko</w:t>
            </w:r>
            <w:proofErr w:type="spellEnd"/>
            <w:r w:rsidRPr="00126316">
              <w:rPr>
                <w:rFonts w:ascii="Times New Roman" w:hAnsi="Times New Roman"/>
                <w:sz w:val="24"/>
                <w:szCs w:val="24"/>
                <w:lang w:val="uk-UA"/>
              </w:rPr>
              <w:t>@ukr.net</w:t>
            </w:r>
          </w:p>
        </w:tc>
      </w:tr>
      <w:tr w:rsidR="00864AE1" w:rsidRPr="00126316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232</w:t>
            </w:r>
          </w:p>
        </w:tc>
      </w:tr>
      <w:tr w:rsidR="00864AE1" w:rsidRPr="00126316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– 120, кредитів – 4, розподіл годин (лекції – 30, практичні – 14, самостійна робота – 76), 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контролю – іспит.</w:t>
            </w:r>
          </w:p>
        </w:tc>
      </w:tr>
      <w:tr w:rsidR="00864AE1" w:rsidRPr="00126316" w:rsidTr="0033154C">
        <w:tc>
          <w:tcPr>
            <w:tcW w:w="2883" w:type="dxa"/>
            <w:gridSpan w:val="2"/>
          </w:tcPr>
          <w:p w:rsidR="00864AE1" w:rsidRPr="00126316" w:rsidRDefault="00864AE1" w:rsidP="003315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864AE1" w:rsidRPr="00D16F8C" w:rsidTr="0033154C">
        <w:tc>
          <w:tcPr>
            <w:tcW w:w="9344" w:type="dxa"/>
            <w:gridSpan w:val="5"/>
          </w:tcPr>
          <w:p w:rsidR="00864AE1" w:rsidRDefault="0072130E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Пререквізіти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D16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підприємства, Фінанси підприємств, </w:t>
            </w:r>
            <w:r w:rsidR="00864AE1"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Бухгалтерський облік, Фінансовий облік І, Фінансовий облік ІІ, </w:t>
            </w:r>
            <w:r w:rsidR="00D16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Облікова політика, Облік у галузях еко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номіки, Облік і звітність суб’єктів малого підприємництва, Діагностика та прогнозування діяльності підприємства.</w:t>
            </w:r>
          </w:p>
          <w:p w:rsidR="0072130E" w:rsidRPr="00126316" w:rsidRDefault="0072130E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Постреквізіти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Звітність підприємства, Внутрішньогосподарський контроль.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126316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9B2FE3" w:rsidRPr="009B2FE3" w:rsidRDefault="009B2FE3" w:rsidP="009B2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4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 «Аудит» є нормативною для підготовки фахівців зі спеціальності «Облік і оподаткування»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спрямована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теоретичних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набуття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аудиту,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іншого надання впевненості та</w:t>
            </w:r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супутніх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9B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4AE1" w:rsidRPr="00126316" w:rsidRDefault="008427BD" w:rsidP="009B2FE3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64AE1" w:rsidRPr="00126316">
              <w:rPr>
                <w:rFonts w:eastAsia="Times New Roman"/>
                <w:lang w:val="uk-UA" w:eastAsia="ru-RU"/>
              </w:rPr>
              <w:t>У результаті вивчення навчальної дисципліни здобувачі вищої освіти повинні отримати:</w:t>
            </w:r>
          </w:p>
          <w:p w:rsidR="00864AE1" w:rsidRPr="00126316" w:rsidRDefault="00864AE1" w:rsidP="0033154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1)</w:t>
            </w:r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:rsidR="00864AE1" w:rsidRPr="00126316" w:rsidRDefault="00864AE1" w:rsidP="0033154C">
            <w:pPr>
              <w:pStyle w:val="Default"/>
              <w:jc w:val="both"/>
              <w:rPr>
                <w:lang w:val="uk-UA"/>
              </w:rPr>
            </w:pPr>
            <w:r w:rsidRPr="00126316">
              <w:rPr>
                <w:rFonts w:eastAsia="Times New Roman"/>
                <w:lang w:val="uk-UA" w:eastAsia="ru-RU"/>
              </w:rPr>
              <w:t xml:space="preserve"> </w:t>
            </w:r>
            <w:r w:rsidRPr="00126316">
              <w:t xml:space="preserve">- </w:t>
            </w:r>
            <w:r w:rsidR="00930D4F">
              <w:rPr>
                <w:lang w:val="uk-UA"/>
              </w:rPr>
              <w:t xml:space="preserve">ЗК </w:t>
            </w:r>
            <w:r w:rsidRPr="00126316">
              <w:rPr>
                <w:lang w:val="uk-UA"/>
              </w:rPr>
              <w:t xml:space="preserve">1. </w:t>
            </w:r>
            <w:proofErr w:type="spellStart"/>
            <w:r w:rsidRPr="00126316">
              <w:t>Здатність</w:t>
            </w:r>
            <w:proofErr w:type="spellEnd"/>
            <w:r w:rsidRPr="00126316">
              <w:t xml:space="preserve"> </w:t>
            </w:r>
            <w:proofErr w:type="spellStart"/>
            <w:r w:rsidRPr="00126316">
              <w:t>вчитися</w:t>
            </w:r>
            <w:proofErr w:type="spellEnd"/>
            <w:r w:rsidRPr="00126316">
              <w:t xml:space="preserve"> і </w:t>
            </w:r>
            <w:proofErr w:type="spellStart"/>
            <w:r w:rsidRPr="00126316">
              <w:t>оволодівати</w:t>
            </w:r>
            <w:proofErr w:type="spellEnd"/>
            <w:r w:rsidRPr="00126316">
              <w:t xml:space="preserve"> </w:t>
            </w:r>
            <w:proofErr w:type="spellStart"/>
            <w:r w:rsidRPr="00126316">
              <w:t>сучасними</w:t>
            </w:r>
            <w:proofErr w:type="spellEnd"/>
            <w:r w:rsidRPr="00126316">
              <w:t xml:space="preserve"> </w:t>
            </w:r>
            <w:proofErr w:type="spellStart"/>
            <w:r w:rsidRPr="00126316">
              <w:t>знаннями</w:t>
            </w:r>
            <w:proofErr w:type="spellEnd"/>
            <w:r w:rsidRPr="00126316">
              <w:t>.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ЗК  </w:t>
            </w:r>
            <w:r w:rsidR="00864AE1" w:rsidRPr="00126316">
              <w:rPr>
                <w:lang w:val="uk-UA"/>
              </w:rPr>
              <w:t xml:space="preserve">2. </w:t>
            </w:r>
            <w:proofErr w:type="spellStart"/>
            <w:r w:rsidR="00864AE1" w:rsidRPr="00126316">
              <w:t>Здатність</w:t>
            </w:r>
            <w:proofErr w:type="spellEnd"/>
            <w:r w:rsidR="00864AE1" w:rsidRPr="00126316">
              <w:t xml:space="preserve"> до </w:t>
            </w:r>
            <w:proofErr w:type="gramStart"/>
            <w:r w:rsidR="00864AE1" w:rsidRPr="00126316">
              <w:t>абстрактного</w:t>
            </w:r>
            <w:proofErr w:type="gramEnd"/>
            <w:r w:rsidR="00864AE1" w:rsidRPr="00126316">
              <w:t xml:space="preserve"> </w:t>
            </w:r>
            <w:proofErr w:type="spellStart"/>
            <w:r w:rsidR="00864AE1" w:rsidRPr="00126316">
              <w:t>мислення</w:t>
            </w:r>
            <w:proofErr w:type="spellEnd"/>
            <w:r w:rsidR="00864AE1" w:rsidRPr="00126316">
              <w:t xml:space="preserve">, </w:t>
            </w:r>
            <w:proofErr w:type="spellStart"/>
            <w:r w:rsidR="00864AE1" w:rsidRPr="00126316">
              <w:t>аналізу</w:t>
            </w:r>
            <w:proofErr w:type="spellEnd"/>
            <w:r w:rsidR="00864AE1" w:rsidRPr="00126316">
              <w:t xml:space="preserve"> та синтезу.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ЗК  </w:t>
            </w:r>
            <w:r w:rsidR="00864AE1" w:rsidRPr="00126316">
              <w:rPr>
                <w:lang w:val="uk-UA"/>
              </w:rPr>
              <w:t xml:space="preserve">3. </w:t>
            </w:r>
            <w:proofErr w:type="spellStart"/>
            <w:r w:rsidR="00864AE1" w:rsidRPr="00126316">
              <w:t>Здатність</w:t>
            </w:r>
            <w:proofErr w:type="spellEnd"/>
            <w:r w:rsidR="00864AE1" w:rsidRPr="00126316">
              <w:t xml:space="preserve"> </w:t>
            </w:r>
            <w:proofErr w:type="spellStart"/>
            <w:r w:rsidR="00864AE1" w:rsidRPr="00126316">
              <w:t>працювати</w:t>
            </w:r>
            <w:proofErr w:type="spellEnd"/>
            <w:r w:rsidR="00864AE1" w:rsidRPr="00126316">
              <w:t xml:space="preserve"> </w:t>
            </w:r>
            <w:proofErr w:type="gramStart"/>
            <w:r w:rsidR="00864AE1" w:rsidRPr="00126316">
              <w:t>в</w:t>
            </w:r>
            <w:proofErr w:type="gramEnd"/>
            <w:r w:rsidR="00864AE1" w:rsidRPr="00126316">
              <w:t xml:space="preserve"> </w:t>
            </w:r>
            <w:proofErr w:type="spellStart"/>
            <w:r w:rsidR="00864AE1" w:rsidRPr="00126316">
              <w:t>команді</w:t>
            </w:r>
            <w:proofErr w:type="spellEnd"/>
            <w:r w:rsidR="00864AE1" w:rsidRPr="00126316">
              <w:t>.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ЗК </w:t>
            </w:r>
            <w:r w:rsidR="00864AE1" w:rsidRPr="00126316">
              <w:rPr>
                <w:lang w:val="uk-UA"/>
              </w:rPr>
              <w:t xml:space="preserve">4. Здатність працювати автономно. 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ЗК </w:t>
            </w:r>
            <w:r w:rsidR="00864AE1" w:rsidRPr="00126316">
              <w:rPr>
                <w:lang w:val="uk-UA"/>
              </w:rPr>
              <w:t xml:space="preserve">5. Цінування та повага різноманітності та мультикультурності. 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ЗК </w:t>
            </w:r>
            <w:r w:rsidR="00864AE1" w:rsidRPr="00126316">
              <w:rPr>
                <w:lang w:val="uk-UA"/>
              </w:rPr>
              <w:t>6. Здатність діяти на основі етичних міркувань (мотивів</w:t>
            </w:r>
            <w:r w:rsidR="00864AE1" w:rsidRPr="00126316">
              <w:t>).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ЗК </w:t>
            </w:r>
            <w:r w:rsidR="00864AE1" w:rsidRPr="00126316">
              <w:rPr>
                <w:lang w:val="uk-UA"/>
              </w:rPr>
              <w:t xml:space="preserve">7. </w:t>
            </w:r>
            <w:proofErr w:type="spellStart"/>
            <w:r w:rsidR="00864AE1" w:rsidRPr="00126316">
              <w:t>Здатність</w:t>
            </w:r>
            <w:proofErr w:type="spellEnd"/>
            <w:r w:rsidR="00864AE1" w:rsidRPr="00126316">
              <w:t xml:space="preserve"> бути </w:t>
            </w:r>
            <w:proofErr w:type="spellStart"/>
            <w:r w:rsidR="00864AE1" w:rsidRPr="00126316">
              <w:t>критичним</w:t>
            </w:r>
            <w:proofErr w:type="spellEnd"/>
            <w:r w:rsidR="00864AE1" w:rsidRPr="00126316">
              <w:t xml:space="preserve"> та </w:t>
            </w:r>
            <w:proofErr w:type="spellStart"/>
            <w:r w:rsidR="00864AE1" w:rsidRPr="00126316">
              <w:t>самокритичним</w:t>
            </w:r>
            <w:proofErr w:type="spellEnd"/>
            <w:r w:rsidR="00864AE1" w:rsidRPr="00126316">
              <w:t>.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-ЗК </w:t>
            </w:r>
            <w:r w:rsidR="00864AE1" w:rsidRPr="00126316">
              <w:rPr>
                <w:lang w:val="uk-UA"/>
              </w:rPr>
              <w:t>8. Знання та розуміння предметної області та розуміння професійної діяльності.</w:t>
            </w:r>
          </w:p>
          <w:p w:rsidR="00864AE1" w:rsidRPr="00126316" w:rsidRDefault="00930D4F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ЗК </w:t>
            </w:r>
            <w:r w:rsidR="00864AE1"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Здатність спілкуватися державною мовою як усно, так і письмово. </w:t>
            </w:r>
          </w:p>
          <w:p w:rsidR="00864AE1" w:rsidRPr="00126316" w:rsidRDefault="00864AE1" w:rsidP="0033154C">
            <w:pPr>
              <w:pStyle w:val="Default"/>
              <w:jc w:val="both"/>
              <w:rPr>
                <w:lang w:val="uk-UA"/>
              </w:rPr>
            </w:pPr>
            <w:r w:rsidRPr="00126316">
              <w:rPr>
                <w:lang w:val="uk-UA"/>
              </w:rPr>
              <w:t xml:space="preserve">- ЗК12. Здатність діяти соціально відповідально та </w:t>
            </w:r>
            <w:proofErr w:type="spellStart"/>
            <w:r w:rsidRPr="00126316">
              <w:rPr>
                <w:lang w:val="uk-UA"/>
              </w:rPr>
              <w:t>сві</w:t>
            </w:r>
            <w:r w:rsidRPr="00126316">
              <w:t>домо</w:t>
            </w:r>
            <w:proofErr w:type="spellEnd"/>
            <w:r w:rsidRPr="00126316">
              <w:t>.</w:t>
            </w:r>
          </w:p>
          <w:p w:rsidR="00864AE1" w:rsidRPr="00126316" w:rsidRDefault="00864AE1" w:rsidP="0033154C">
            <w:pPr>
              <w:pStyle w:val="Default"/>
              <w:jc w:val="both"/>
            </w:pPr>
            <w:r w:rsidRPr="00126316">
              <w:rPr>
                <w:lang w:val="uk-UA"/>
              </w:rPr>
              <w:t xml:space="preserve">- ЗК13. </w:t>
            </w:r>
            <w:proofErr w:type="spellStart"/>
            <w:r w:rsidRPr="00126316">
              <w:t>Здатність</w:t>
            </w:r>
            <w:proofErr w:type="spellEnd"/>
            <w:r w:rsidRPr="00126316">
              <w:t xml:space="preserve"> </w:t>
            </w:r>
            <w:proofErr w:type="spellStart"/>
            <w:r w:rsidRPr="00126316">
              <w:t>проведення</w:t>
            </w:r>
            <w:proofErr w:type="spellEnd"/>
            <w:r w:rsidRPr="00126316">
              <w:t xml:space="preserve"> </w:t>
            </w:r>
            <w:proofErr w:type="spellStart"/>
            <w:proofErr w:type="gramStart"/>
            <w:r w:rsidRPr="00126316">
              <w:t>досл</w:t>
            </w:r>
            <w:proofErr w:type="gramEnd"/>
            <w:r w:rsidRPr="00126316">
              <w:t>іджень</w:t>
            </w:r>
            <w:proofErr w:type="spellEnd"/>
            <w:r w:rsidRPr="00126316">
              <w:t xml:space="preserve"> на </w:t>
            </w:r>
            <w:proofErr w:type="spellStart"/>
            <w:r w:rsidRPr="00126316">
              <w:t>відповідному</w:t>
            </w:r>
            <w:proofErr w:type="spellEnd"/>
            <w:r w:rsidRPr="00126316">
              <w:t xml:space="preserve"> </w:t>
            </w:r>
            <w:proofErr w:type="spellStart"/>
            <w:r w:rsidRPr="00126316">
              <w:t>рівні</w:t>
            </w:r>
            <w:proofErr w:type="spellEnd"/>
            <w:r w:rsidRPr="00126316">
              <w:t xml:space="preserve">. </w:t>
            </w:r>
          </w:p>
          <w:p w:rsidR="00864AE1" w:rsidRPr="00126316" w:rsidRDefault="00864AE1" w:rsidP="0033154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2) фахові компетентності:</w:t>
            </w:r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64AE1" w:rsidRPr="00126316" w:rsidRDefault="00930D4F" w:rsidP="0033154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СК </w:t>
            </w:r>
            <w:r w:rsidR="00864AE1" w:rsidRPr="00126316">
              <w:rPr>
                <w:lang w:val="uk-UA"/>
              </w:rPr>
              <w:t xml:space="preserve">7. </w:t>
            </w:r>
            <w:proofErr w:type="spellStart"/>
            <w:r w:rsidR="00864AE1" w:rsidRPr="00126316">
              <w:t>Застосовувати</w:t>
            </w:r>
            <w:proofErr w:type="spellEnd"/>
            <w:r w:rsidR="00864AE1" w:rsidRPr="00126316">
              <w:t xml:space="preserve"> методики </w:t>
            </w:r>
            <w:proofErr w:type="spellStart"/>
            <w:r w:rsidR="00864AE1" w:rsidRPr="00126316">
              <w:t>проведення</w:t>
            </w:r>
            <w:proofErr w:type="spellEnd"/>
            <w:r w:rsidR="00864AE1" w:rsidRPr="00126316">
              <w:t xml:space="preserve"> аудиту й </w:t>
            </w:r>
            <w:proofErr w:type="spellStart"/>
            <w:r w:rsidR="00864AE1" w:rsidRPr="00126316">
              <w:t>послуг</w:t>
            </w:r>
            <w:proofErr w:type="spellEnd"/>
            <w:r w:rsidR="00864AE1" w:rsidRPr="00126316">
              <w:t xml:space="preserve"> з </w:t>
            </w:r>
            <w:proofErr w:type="spellStart"/>
            <w:r w:rsidR="00864AE1" w:rsidRPr="00126316">
              <w:t>надання</w:t>
            </w:r>
            <w:proofErr w:type="spellEnd"/>
            <w:r w:rsidR="00864AE1" w:rsidRPr="00126316">
              <w:t xml:space="preserve"> </w:t>
            </w:r>
            <w:proofErr w:type="spellStart"/>
            <w:r w:rsidR="00864AE1" w:rsidRPr="00126316">
              <w:t>впевненості</w:t>
            </w:r>
            <w:proofErr w:type="spellEnd"/>
            <w:r w:rsidR="00864AE1" w:rsidRPr="00126316">
              <w:rPr>
                <w:lang w:val="uk-UA"/>
              </w:rPr>
              <w:t>.</w:t>
            </w:r>
          </w:p>
          <w:p w:rsidR="00864AE1" w:rsidRPr="00126316" w:rsidRDefault="00864AE1" w:rsidP="0033154C">
            <w:pPr>
              <w:pStyle w:val="Default"/>
              <w:jc w:val="both"/>
              <w:rPr>
                <w:lang w:val="uk-UA"/>
              </w:rPr>
            </w:pPr>
            <w:r w:rsidRPr="00126316">
              <w:rPr>
                <w:lang w:val="uk-UA"/>
              </w:rPr>
              <w:t>Р</w:t>
            </w:r>
            <w:r w:rsidRPr="00126316">
              <w:rPr>
                <w:rFonts w:eastAsia="Times New Roman"/>
                <w:b/>
                <w:lang w:val="uk-UA" w:eastAsia="ru-RU"/>
              </w:rPr>
              <w:t xml:space="preserve">езультати навчання з дисципліни: 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F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Визначати сутність об’єктів аудиту та розуміти їх роль і місце в господарській діяльності.</w:t>
            </w:r>
          </w:p>
          <w:p w:rsidR="00864AE1" w:rsidRPr="00126316" w:rsidRDefault="00FF081C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 </w:t>
            </w:r>
            <w:r w:rsidR="00864AE1"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Володіти методичним інструментарієм аудиту. </w:t>
            </w:r>
          </w:p>
          <w:p w:rsidR="00864AE1" w:rsidRPr="00126316" w:rsidRDefault="00FF081C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 </w:t>
            </w:r>
            <w:r w:rsidR="00864AE1"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Розуміти особливості практики здійснення аудиту.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</w:t>
            </w:r>
            <w:r w:rsidR="00FF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засади аудиту та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вивчення навчальної дисципліни: оволодіння базовими теоретичними знаннями та набуття практичних навичок проведення аудиту, виконання інших видів аудиторських послуг.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вивчення дисципліни: засвоєння теоретичних засад функціонування аудиту як системи незалежного фінансового контролю; опанування законодавчих актів, нормативно-інструктивних документів, Міжнародних стандартів контролю якості, аудиту, огляду, іншого надання впевненості та супутніх послуг; професійної етики аудиторів; набуття практичних навичок з організації та планування аудиту, виконання комплексу окремих аудиторських процедур, надання аудиторських послуг, оформлення робочих та підсумкових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документів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аудитора.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1. Теоретичні основи аудиту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 Загальна характеристика аудиту та його види</w:t>
            </w:r>
          </w:p>
          <w:p w:rsidR="00864AE1" w:rsidRPr="00126316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значення аудиту. Предмет, метод і об’єкти аудиту. Види аудиту та їх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 </w:t>
            </w:r>
            <w:proofErr w:type="gram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фінансово-господарського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Аудиторська діяльність в Україні</w:t>
            </w:r>
          </w:p>
          <w:p w:rsidR="00864AE1" w:rsidRPr="00126316" w:rsidRDefault="00864AE1" w:rsidP="0033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proofErr w:type="spellStart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</w:t>
            </w:r>
            <w:proofErr w:type="spellEnd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</w:t>
            </w:r>
            <w:proofErr w:type="spellStart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аудиторської</w:t>
            </w:r>
            <w:proofErr w:type="spellEnd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Міжнародні стандарти контролю якості, аудиту, огляду, іншого надання впевненості та супутніх послуг. Загальні умови надання аудиторських послуг. Атестація аудиторів. Реєстрація аудиторів та суб’єктів аудиторської діяльності.</w:t>
            </w:r>
          </w:p>
          <w:p w:rsidR="00864AE1" w:rsidRPr="00126316" w:rsidRDefault="00864AE1" w:rsidP="003315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3. </w:t>
            </w:r>
            <w:proofErr w:type="spellStart"/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Професіна</w:t>
            </w:r>
            <w:proofErr w:type="spellEnd"/>
            <w:r w:rsidRPr="0012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етика аудиторів</w:t>
            </w:r>
          </w:p>
          <w:p w:rsidR="00864AE1" w:rsidRPr="00126316" w:rsidRDefault="00864AE1" w:rsidP="0033154C">
            <w:pPr>
              <w:shd w:val="clear" w:color="auto" w:fill="FFFFFF"/>
              <w:tabs>
                <w:tab w:val="left" w:pos="893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Професійна етика та її регулювання. Законодавчі вимоги до дотримання професійної етики бухгалтерами та аудиторами. </w:t>
            </w:r>
            <w:r w:rsidRPr="00126316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Загальні засади етичної поведінки аудиторів. Застосування концептуальної основи Кодексу РМСЕБ аудиторами в конкретних ситуаціях.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 Суспільний нагляд за аудиторською діяльністю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Організація суспільного нагляду за аудиторською діяльністю. Порядок формування та функціонування Ради нагляду за аудиторською діяльністю. Формування та функціонування Інспекції із забезпечення якості.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Оприлюднення інформації про діяльність Органу суспільного нагляду за аудиторською діяльністю.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 Професійне самоврядування аудиторів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126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Загальні принципи професійного самоврядування аудиторів. Аудиторська палата України. З’їзд аудиторів України. Рада Аудиторської палати України. Голова Аудиторської палати України. Комітет з контролю якості аудиторських послуг. Професійні організації аудиторів України.</w:t>
            </w:r>
            <w:r w:rsidRPr="00126316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263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Професійна відповідальність аудиторів та суб’єктів аудиторської діяльності.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 Методи аудиту фінансової звітності та критерії її оцінювання</w:t>
            </w:r>
          </w:p>
          <w:p w:rsidR="00864AE1" w:rsidRPr="00126316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Загальнонаукові та специфічні методи і прийоми аудиту.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</w:t>
            </w:r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аудитором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Методики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їхні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оборотів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залишкі</w:t>
            </w:r>
            <w:proofErr w:type="gram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рахунках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Аудиторський</w:t>
            </w:r>
            <w:proofErr w:type="spellEnd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  <w:proofErr w:type="spellEnd"/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суттєвість </w:t>
            </w:r>
          </w:p>
          <w:p w:rsidR="00864AE1" w:rsidRPr="00126316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Суть, складові та методика визначення аудиторського ризику. Планування суттєвості в аудиті. Аудиторська вибірка. Поняття суттєвості в аудиті та методика її оцінювання. Види викривлень в обліку та звітності.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Шахрайство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помилк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в процесі аудиту</w:t>
            </w:r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4AE1" w:rsidRPr="00126316" w:rsidRDefault="00864AE1" w:rsidP="0033154C">
            <w:pPr>
              <w:shd w:val="clear" w:color="auto" w:fill="FFFFFF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</w:t>
            </w:r>
            <w:proofErr w:type="spellEnd"/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2. </w:t>
            </w:r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Планування, у</w:t>
            </w:r>
            <w:proofErr w:type="spellStart"/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загальнення</w:t>
            </w:r>
            <w:proofErr w:type="spellEnd"/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результатів</w:t>
            </w:r>
            <w:proofErr w:type="spellEnd"/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аудиту</w:t>
            </w:r>
            <w:r w:rsidRPr="00126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внутрішній аудит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системи внутрішнього контролю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Місце і роль внутрішньогосподарського контролю в управлінні підприємством. Основні компоненти системи внутрішньогосподарського контролю підприємств, установ та організацій. Оцінка ефективності функціонування внутрішньогосподарського контролю та аудиту. Особливості оцінки ефективності заходів внутрішньогосподарського контролю в середовищі автоматизованих інформаційних систем  обліку та управління.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етапи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>аудиту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 та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аудиторської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клієнті</w:t>
            </w:r>
            <w:proofErr w:type="gram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Процедура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 (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аудиторських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аудиторської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фірми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їхнє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розширеного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плану)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Аудиторські</w:t>
            </w:r>
            <w:proofErr w:type="spellEnd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>докази</w:t>
            </w:r>
            <w:proofErr w:type="spellEnd"/>
            <w:r w:rsidRPr="001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AE1" w:rsidRPr="00126316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аудиторських доказів та вимоги до них. Види аудиторських доказів та джерела їх отримання. Процедури отримання аудиторських доказів.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11. Аудиторська документація</w:t>
            </w:r>
          </w:p>
          <w:p w:rsidR="00864AE1" w:rsidRPr="00126316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аудиторської документації та її нормативне регулювання. Обсяг, зміст та обов’язкові реквізити робочих документів аудитора. Аудиторський файл, його формування та зберігання. Класифікація аудиторської документації.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12. Аудиторські висновки та звітування</w:t>
            </w:r>
          </w:p>
          <w:p w:rsidR="00864AE1" w:rsidRPr="00126316" w:rsidRDefault="00864AE1" w:rsidP="00331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Формування думки та складання звіту щодо фінансової звітності. Модифікації думки у звіті незалежного аудитора. Повідомлення інформації з ключових питань аудиту в звіті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незалежного аудитора. </w:t>
            </w:r>
            <w:r w:rsidRPr="001263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Пояснювальні параграфи та параграфи з  інших питань у звіті незалежного аудитора. 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Порівняльна інформація – відповідні показники і порівняльна фінансова звітність. 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13. Внутрішній аудит</w:t>
            </w:r>
          </w:p>
          <w:p w:rsidR="00864AE1" w:rsidRPr="00126316" w:rsidRDefault="00864AE1" w:rsidP="00331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Предмет, об’єкти, завдання та види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Нормативно-правова база внутрішнього аудиту. Методичні прийоми та процедури внутрішнього аудиту.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аудиту.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аудитора.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Взаємовідносини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аудиторі</w:t>
            </w:r>
            <w:proofErr w:type="gramStart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6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4AE1" w:rsidRPr="00126316" w:rsidRDefault="00864AE1" w:rsidP="0033154C">
            <w:pPr>
              <w:tabs>
                <w:tab w:val="center" w:pos="5314"/>
                <w:tab w:val="left" w:pos="80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Узагальнення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результатів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внутрішнього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аудиту.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реалізація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системи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внутрішнього</w:t>
            </w:r>
            <w:proofErr w:type="spellEnd"/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аудиту. 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864AE1" w:rsidRPr="00126316" w:rsidTr="0033154C">
        <w:tc>
          <w:tcPr>
            <w:tcW w:w="915" w:type="dxa"/>
          </w:tcPr>
          <w:p w:rsidR="00864AE1" w:rsidRPr="00126316" w:rsidRDefault="00864AE1" w:rsidP="0033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  <w:gridSpan w:val="2"/>
          </w:tcPr>
          <w:p w:rsidR="00864AE1" w:rsidRPr="00126316" w:rsidRDefault="00864AE1" w:rsidP="0033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3"/>
            </w:tblGrid>
            <w:tr w:rsidR="00864AE1" w:rsidRPr="00126316" w:rsidTr="0033154C">
              <w:trPr>
                <w:trHeight w:val="109"/>
              </w:trPr>
              <w:tc>
                <w:tcPr>
                  <w:tcW w:w="0" w:type="auto"/>
                </w:tcPr>
                <w:p w:rsidR="00864AE1" w:rsidRPr="00126316" w:rsidRDefault="00864AE1" w:rsidP="003315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126316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864AE1" w:rsidRPr="00126316" w:rsidRDefault="00864AE1" w:rsidP="0033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864AE1" w:rsidRPr="00126316" w:rsidRDefault="00864AE1" w:rsidP="0033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64AE1" w:rsidRPr="00126316" w:rsidTr="0033154C">
        <w:trPr>
          <w:trHeight w:val="570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5" w:type="dxa"/>
            <w:gridSpan w:val="2"/>
          </w:tcPr>
          <w:p w:rsidR="00864AE1" w:rsidRPr="00126316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аудиту та його види</w:t>
            </w:r>
          </w:p>
        </w:tc>
        <w:tc>
          <w:tcPr>
            <w:tcW w:w="2237" w:type="dxa"/>
          </w:tcPr>
          <w:p w:rsidR="00864AE1" w:rsidRPr="00126316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64AE1" w:rsidRPr="00126316" w:rsidTr="0033154C">
        <w:trPr>
          <w:trHeight w:val="273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Аудиторська діяльність в Україні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864AE1" w:rsidRPr="00126316" w:rsidTr="0033154C">
        <w:trPr>
          <w:trHeight w:val="270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етика аудиторів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864AE1" w:rsidRPr="00126316" w:rsidTr="0033154C">
        <w:trPr>
          <w:trHeight w:val="516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Суспільний нагляд за аудиторською діяльністю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64AE1" w:rsidRPr="00126316" w:rsidTr="0033154C">
        <w:trPr>
          <w:trHeight w:val="240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самоврядування аудиторів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64AE1" w:rsidRPr="00126316" w:rsidTr="0033154C">
        <w:trPr>
          <w:trHeight w:val="525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аудиту фінансової звітності та критерії оцінки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864AE1" w:rsidRPr="00126316" w:rsidTr="0033154C">
        <w:trPr>
          <w:trHeight w:val="330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Аудиторський ризик та суттєвість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64AE1" w:rsidRPr="00126316" w:rsidTr="0033154C">
        <w:trPr>
          <w:trHeight w:val="345"/>
        </w:trPr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15" w:type="dxa"/>
            <w:gridSpan w:val="2"/>
          </w:tcPr>
          <w:p w:rsidR="00864AE1" w:rsidRPr="00126316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системи внутрішнього контролю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64AE1" w:rsidRPr="00126316" w:rsidTr="0033154C">
        <w:trPr>
          <w:trHeight w:val="354"/>
        </w:trPr>
        <w:tc>
          <w:tcPr>
            <w:tcW w:w="915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етапи аудиту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864AE1" w:rsidRPr="00126316" w:rsidTr="0033154C">
        <w:trPr>
          <w:trHeight w:val="273"/>
        </w:trPr>
        <w:tc>
          <w:tcPr>
            <w:tcW w:w="915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Аудиторські докази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64AE1" w:rsidRPr="00126316" w:rsidTr="0033154C">
        <w:trPr>
          <w:trHeight w:val="270"/>
        </w:trPr>
        <w:tc>
          <w:tcPr>
            <w:tcW w:w="915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Аудиторська документація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864AE1" w:rsidRPr="00126316" w:rsidTr="0033154C">
        <w:trPr>
          <w:trHeight w:val="267"/>
        </w:trPr>
        <w:tc>
          <w:tcPr>
            <w:tcW w:w="915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15" w:type="dxa"/>
            <w:gridSpan w:val="2"/>
          </w:tcPr>
          <w:p w:rsidR="00864AE1" w:rsidRDefault="00864AE1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Аудиторські висновки та звітування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4/2</w:t>
            </w:r>
          </w:p>
        </w:tc>
      </w:tr>
      <w:tr w:rsidR="00864AE1" w:rsidRPr="00126316" w:rsidTr="0033154C">
        <w:tc>
          <w:tcPr>
            <w:tcW w:w="915" w:type="dxa"/>
          </w:tcPr>
          <w:p w:rsidR="00864AE1" w:rsidRPr="00126316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15" w:type="dxa"/>
            <w:gridSpan w:val="2"/>
          </w:tcPr>
          <w:p w:rsidR="00864AE1" w:rsidRPr="00126316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аудит: мета, завдання та методичні прийоми</w:t>
            </w:r>
          </w:p>
        </w:tc>
        <w:tc>
          <w:tcPr>
            <w:tcW w:w="2237" w:type="dxa"/>
          </w:tcPr>
          <w:p w:rsidR="00864AE1" w:rsidRDefault="00864AE1" w:rsidP="003315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377" w:type="dxa"/>
          </w:tcPr>
          <w:p w:rsidR="00864AE1" w:rsidRDefault="00864AE1" w:rsidP="003315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4/2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64AE1" w:rsidRPr="0052196E" w:rsidTr="0033154C">
        <w:tc>
          <w:tcPr>
            <w:tcW w:w="9344" w:type="dxa"/>
            <w:gridSpan w:val="5"/>
          </w:tcPr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Загальна характеристика аудиту та його види (4 год.) – огляд літературних джерел щодо сутності аудиту, його предмету і методу (тестові завдання, виконання інших завдань).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Аудиторська діяльність в Україні (6 год.) – огляд організаційно-правових основ діяльності в Україні, визначені Законом України «Про аудит фінансової звітності та аудиторську діяльність» (тестові завдання</w:t>
            </w:r>
            <w:r w:rsidR="009B2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презентації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Професійна етика аудиторів (4 год.) – огляд літературних джерел з регулювання професійної етики аудиторів.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законодавчих вимог</w:t>
            </w:r>
            <w:r w:rsidRPr="006776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дотримання професійної етики бухгалтерами та аудиторами. </w:t>
            </w:r>
            <w:r w:rsidRPr="00677633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Загальні засади етичної поведінки аудиторів. Застосування концептуальної основи Кодексу РМСЕБ аудиторами в конкретних ситуаціях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(тестові завдання, презентації, виконання ситуаційних завдань).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4. Суспільний нагляд за аудиторською діяльністю (2 год.) – огляд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«Про аудит фінансової звітності та аудиторську діяльність»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рганізація</w:t>
            </w: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суспільного нагляду за аудиторською діяльністю. Порядок формування та функціонування Ради нагляду за аудиторською діяльністю. Формування та функціонування Інспекції із забезпечення якості. </w:t>
            </w:r>
            <w:r w:rsidRPr="003B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Оприлюднення інформації про діяльність Органу суспільного нагляду за аудиторською діяльністю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(тестові завдання, презентації).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5. Професійне самоврядування аудиторів (4 год.) – огляд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«Про аудит фінансової звітності та аудиторську діяльність» - </w:t>
            </w:r>
            <w:r w:rsidRPr="003B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Загальні принципи професійного самоврядування аудиторів. Аудиторська палата України. З’їзд аудиторів України. Рада Аудиторської палати України. Голова Аудиторської палати України. Комітет з контролю якості аудиторських послуг. Професійні організації аудиторів України.</w:t>
            </w:r>
            <w:r w:rsidRPr="003B0E39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B0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Професійна відповідальність аудиторів та суб’єктів аудиторської діяльності.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(тестові завдання, презентації).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Методи аудиту фінансової звітності та критерії її оцінки (8 год.) – </w:t>
            </w:r>
            <w:r w:rsidRPr="003A7795">
              <w:rPr>
                <w:rFonts w:ascii="Times New Roman" w:hAnsi="Times New Roman" w:cs="Times New Roman"/>
                <w:lang w:val="uk-UA"/>
              </w:rPr>
              <w:t xml:space="preserve">огляд літературних джерел щодо методів аудиту фінансової звітності та критерії її оцінювання. Поєднання методів </w:t>
            </w:r>
            <w:r w:rsidRPr="003A7795">
              <w:rPr>
                <w:rFonts w:ascii="Times New Roman" w:hAnsi="Times New Roman" w:cs="Times New Roman"/>
                <w:lang w:val="uk-UA"/>
              </w:rPr>
              <w:lastRenderedPageBreak/>
              <w:t>документальної комплексної ревізії, судово-бухгалтерської експертизи, аналізу господарської діяльності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(тестові завдання,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виконання ситуаційних завдань).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7. Аудиторський ризик та суттєвість (8 год.) – </w:t>
            </w:r>
            <w:r w:rsidRPr="003A7795">
              <w:rPr>
                <w:rFonts w:ascii="Times New Roman" w:hAnsi="Times New Roman" w:cs="Times New Roman"/>
                <w:lang w:val="uk-UA"/>
              </w:rPr>
              <w:t>огляд літературних джерел</w:t>
            </w:r>
            <w:r>
              <w:rPr>
                <w:rFonts w:ascii="Times New Roman" w:hAnsi="Times New Roman" w:cs="Times New Roman"/>
                <w:lang w:val="uk-UA"/>
              </w:rPr>
              <w:t xml:space="preserve"> щодо сутності аудиторського ризику та суттєвості, МСА 315 «Ідентифікація та оцінювання ризиків суттєвого викривлення через розуміння суб’єкта господарювання і його середовища», МСА 320 «Суттєвість при плануванні та проведенні аудиту», МСА 330 «Дії аудитора у відповідь на оцінені ризики», МСА 450 «Оцінювання викривлень, виявлених під час аудиту», МСА 240 «Відповідальність аудитора, що стосується шахрайства, при аудиті фінансової звітності»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(тестові завдання, виконання інших завдань).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Оцінка системи внутрішнього контролю (6 год.) – </w:t>
            </w:r>
            <w:r w:rsidRPr="003A7795">
              <w:rPr>
                <w:rFonts w:ascii="Times New Roman" w:hAnsi="Times New Roman" w:cs="Times New Roman"/>
                <w:lang w:val="uk-UA"/>
              </w:rPr>
              <w:t>огляд літературних джерел</w:t>
            </w:r>
            <w:r>
              <w:rPr>
                <w:rFonts w:ascii="Times New Roman" w:hAnsi="Times New Roman" w:cs="Times New Roman"/>
                <w:lang w:val="uk-UA"/>
              </w:rPr>
              <w:t xml:space="preserve"> щодо оцінки системи внутрішнього контролю (виконання завдань).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9. Планування та етапи аудиту (6 год.) – </w:t>
            </w:r>
            <w:r w:rsidRPr="003A7795">
              <w:rPr>
                <w:rFonts w:ascii="Times New Roman" w:hAnsi="Times New Roman" w:cs="Times New Roman"/>
                <w:lang w:val="uk-UA"/>
              </w:rPr>
              <w:t>огляд літературних джерел</w:t>
            </w:r>
            <w:r>
              <w:rPr>
                <w:rFonts w:ascii="Times New Roman" w:hAnsi="Times New Roman" w:cs="Times New Roman"/>
                <w:lang w:val="uk-UA"/>
              </w:rPr>
              <w:t xml:space="preserve"> щодо планування аудиту, МСА 300 «Планування аудиту фінансової звітності»  щодо сутності планування та етапів аудиту (тестові завдання, виконання завдань).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10. Аудиторські докази (6 год.) – </w:t>
            </w:r>
            <w:r w:rsidRPr="003A7795">
              <w:rPr>
                <w:rFonts w:ascii="Times New Roman" w:hAnsi="Times New Roman" w:cs="Times New Roman"/>
                <w:lang w:val="uk-UA"/>
              </w:rPr>
              <w:t>огляд літературних джерел</w:t>
            </w:r>
            <w:r>
              <w:rPr>
                <w:rFonts w:ascii="Times New Roman" w:hAnsi="Times New Roman" w:cs="Times New Roman"/>
                <w:lang w:val="uk-UA"/>
              </w:rPr>
              <w:t xml:space="preserve"> щодо аудиторських доказів, МСА 500 «Аудиторські докази», МСА 501 «Аудиторські докази – особливі положення щодо відібраних елементів», МСА 505 «Зовнішні підтвердження», МСА 510 «Перші завдання з аудиту – залишки на початок періоду», МСА 520 «Аналітичні процедури» (тестові завдання).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 Аудиторська документація (6 год.) – </w:t>
            </w:r>
            <w:r w:rsidRPr="003A7795">
              <w:rPr>
                <w:rFonts w:ascii="Times New Roman" w:hAnsi="Times New Roman" w:cs="Times New Roman"/>
                <w:lang w:val="uk-UA"/>
              </w:rPr>
              <w:t>огляд літературних джерел</w:t>
            </w:r>
            <w:r>
              <w:rPr>
                <w:rFonts w:ascii="Times New Roman" w:hAnsi="Times New Roman" w:cs="Times New Roman"/>
                <w:lang w:val="uk-UA"/>
              </w:rPr>
              <w:t xml:space="preserve"> щодо аудиторської документації, МСА 230 «Аудиторська документація» (тестові завдання, інші завдання).</w:t>
            </w:r>
          </w:p>
          <w:p w:rsidR="00864AE1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12. Аудиторські висновки та звітування (8 год.) – огляд МСА 700 «Формування думки та складання звіту щодо фінансової звітності», МСА 701 «Повідомлення інформації з ключових питань аудиту в звіті незалежного аудитора», МСА 705 «Модифікації думки у звіті незалежного аудитора», МСА706 «Пояснювальні параграфи та параграфи з інших питань у звіті незалежного аудитора», МСА 710 «Порівняльна інформація – відповідні показники і порівняльна фінансова звітність» (тестові завдання, виконання ситуаційних завдань, презентації).</w:t>
            </w:r>
          </w:p>
          <w:p w:rsidR="00864AE1" w:rsidRPr="00E349E8" w:rsidRDefault="00864AE1" w:rsidP="0033154C">
            <w:pPr>
              <w:ind w:firstLine="7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13. Внутрішній аудит: мета, завдання та методичні прийоми (6 год.) – огляд літературних джерел щодо сутності, мети, завдань та методичних прийомів </w:t>
            </w:r>
            <w:r w:rsidRPr="00E349E8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(</w:t>
            </w:r>
            <w:r w:rsidRPr="00E349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стандарти професійної практики внутрішнього аудиту (стандарти))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тестові завдання, презентації, інші завдання).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9.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Default="00864AE1" w:rsidP="0033154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Види контролю (поточний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рубіжний). Форми контролю – екзамен.</w:t>
            </w:r>
          </w:p>
          <w:p w:rsidR="00864AE1" w:rsidRPr="006646EE" w:rsidRDefault="00864AE1" w:rsidP="0033154C">
            <w:pPr>
              <w:pStyle w:val="HTML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64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Контроль  успішності  навчальної  діяльності здобувачів вищої освіти поєднує контрольні заходи. Академічні  успіхи визначаються за допомогою контрольних заходів,  передбачених навчальним планом,  з обов’язковим переведенням підсумкових оцінок до національної шкали та шкали ЄКТС.</w:t>
            </w:r>
          </w:p>
          <w:p w:rsidR="00864AE1" w:rsidRPr="006646EE" w:rsidRDefault="00864AE1" w:rsidP="0033154C">
            <w:pPr>
              <w:pStyle w:val="HTML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64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Контрольні заходи включають у себе поточний, рубіжний (модульний, тематичний, календарний), ректорський контроль.</w:t>
            </w:r>
          </w:p>
          <w:p w:rsidR="00864AE1" w:rsidRPr="006646EE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проводиться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занять.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поточного контролю –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конкретної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мета </w:t>
            </w:r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поточного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–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зворотн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навчальною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мотивацією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одержана при поточному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використовується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викладаче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так і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здобувачами вищої освіти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AE1" w:rsidRPr="006646EE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проводитися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експрес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-контролю на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лекціях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64AE1" w:rsidRPr="006646EE" w:rsidRDefault="00864AE1" w:rsidP="0033154C">
            <w:pPr>
              <w:shd w:val="clear" w:color="auto" w:fill="FFFFFF"/>
              <w:tabs>
                <w:tab w:val="left" w:pos="1104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поточного контролю (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успішність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враховуються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визначенні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та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ідсумкової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екзаменаційної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AE1" w:rsidRPr="006646EE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модульний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тематичний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календарний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–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завершеної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бути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тематичним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модульним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календарним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проводитись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AE1" w:rsidRPr="006646EE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ідсумками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та другого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модульного контролю  форму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підсумков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AE1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</w:t>
            </w:r>
            <w:r w:rsidR="007A5847" w:rsidRPr="007A5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 екзаменаційної сесії </w:t>
            </w:r>
            <w:r w:rsidR="007A5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</w:t>
            </w:r>
            <w:r w:rsidRPr="007A5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не згодні з оцінкою за підсумками рубіжного контролю,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складають</w:t>
            </w:r>
            <w:r w:rsidRPr="007A5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екзамен. </w:t>
            </w:r>
          </w:p>
          <w:p w:rsidR="00EF3526" w:rsidRPr="008A1EDC" w:rsidRDefault="00EF3526" w:rsidP="00EF35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Ректорський контроль якості підготовки здобувачів з навчальної дисципліни є контролем стійкості знань, умінь та навичок і може проводитись як за окремими розділами (модулями), так </w:t>
            </w:r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 з дисципліни в цілому, з метою перевірки визначення рівня залишкових знань здобувачів, контролю якості освітнього процесу та удосконалення критеріїв оцінювання навчальних здобутків здобувачів.</w:t>
            </w:r>
          </w:p>
          <w:p w:rsidR="00EF3526" w:rsidRPr="00EF3526" w:rsidRDefault="00EF3526" w:rsidP="00EF35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Ректорський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проводиться через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деякий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proofErr w:type="gram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Цей вид контролю не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впливає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результативність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Ректорський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проводиться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27BD" w:rsidRDefault="00864AE1" w:rsidP="00EF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заочної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526" w:rsidRPr="00EF3526" w:rsidRDefault="00EF3526" w:rsidP="00EF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AE1" w:rsidRPr="00EF3526" w:rsidRDefault="00864AE1" w:rsidP="0033154C">
            <w:pPr>
              <w:ind w:left="142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6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Критерії оцінювання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8"/>
              <w:gridCol w:w="709"/>
              <w:gridCol w:w="709"/>
              <w:gridCol w:w="709"/>
              <w:gridCol w:w="1275"/>
              <w:gridCol w:w="851"/>
            </w:tblGrid>
            <w:tr w:rsidR="00864AE1" w:rsidRPr="006646EE" w:rsidTr="0033154C">
              <w:tc>
                <w:tcPr>
                  <w:tcW w:w="7939" w:type="dxa"/>
                  <w:gridSpan w:val="13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Поточне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тестування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самостійна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робота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>ідсум-ковий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тест (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екзамен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Сума</w:t>
                  </w:r>
                </w:p>
              </w:tc>
            </w:tr>
            <w:tr w:rsidR="00864AE1" w:rsidRPr="006646EE" w:rsidTr="0033154C">
              <w:tc>
                <w:tcPr>
                  <w:tcW w:w="3970" w:type="dxa"/>
                  <w:gridSpan w:val="7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Змістовий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модуль №1</w:t>
                  </w:r>
                </w:p>
              </w:tc>
              <w:tc>
                <w:tcPr>
                  <w:tcW w:w="3969" w:type="dxa"/>
                  <w:gridSpan w:val="6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Змістовий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модуль № 2</w:t>
                  </w:r>
                </w:p>
              </w:tc>
              <w:tc>
                <w:tcPr>
                  <w:tcW w:w="1275" w:type="dxa"/>
                  <w:vMerge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4AE1" w:rsidRPr="006646EE" w:rsidTr="0033154C">
              <w:tc>
                <w:tcPr>
                  <w:tcW w:w="568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4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Т6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Т7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9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Т11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</w:t>
                  </w: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Т1</w:t>
                  </w: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(100+</w:t>
                  </w:r>
                  <w:proofErr w:type="gramEnd"/>
                </w:p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+100)/2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864AE1" w:rsidRPr="006646EE" w:rsidTr="0033154C">
              <w:tc>
                <w:tcPr>
                  <w:tcW w:w="568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64AE1" w:rsidRPr="006646EE" w:rsidRDefault="00864AE1" w:rsidP="0033154C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, Т2 ... Т1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– теми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змістових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AE1" w:rsidRPr="006646EE" w:rsidRDefault="00864AE1" w:rsidP="0033154C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E1" w:rsidRPr="006646EE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кожним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(РК-1, РК-2)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тижнів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підсумками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100-бальною шкалою.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ідсумкова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 РК-1 и РК-2.</w:t>
            </w:r>
          </w:p>
          <w:p w:rsidR="00864AE1" w:rsidRPr="006646EE" w:rsidRDefault="00864AE1" w:rsidP="003315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98"/>
              <w:gridCol w:w="1411"/>
              <w:gridCol w:w="3215"/>
              <w:gridCol w:w="1687"/>
            </w:tblGrid>
            <w:tr w:rsidR="00864AE1" w:rsidRPr="006646EE" w:rsidTr="0033154C">
              <w:tc>
                <w:tcPr>
                  <w:tcW w:w="3652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Рубіжний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контроль № 1</w:t>
                  </w:r>
                </w:p>
              </w:tc>
              <w:tc>
                <w:tcPr>
                  <w:tcW w:w="1418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Кількість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балі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3260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Рубіжний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контроль № 2</w:t>
                  </w:r>
                </w:p>
              </w:tc>
              <w:tc>
                <w:tcPr>
                  <w:tcW w:w="1701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Кількість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балі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864AE1" w:rsidRPr="006646EE" w:rsidTr="0033154C">
              <w:tc>
                <w:tcPr>
                  <w:tcW w:w="3652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Завдання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418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Завдання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701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864AE1" w:rsidRPr="006646EE" w:rsidTr="0033154C">
              <w:tc>
                <w:tcPr>
                  <w:tcW w:w="3652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Завдання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418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Завдання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701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864AE1" w:rsidRPr="006646EE" w:rsidTr="0033154C">
              <w:tc>
                <w:tcPr>
                  <w:tcW w:w="3652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Тестові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завдання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(30 шт.)</w:t>
                  </w:r>
                </w:p>
              </w:tc>
              <w:tc>
                <w:tcPr>
                  <w:tcW w:w="1418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3260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Тестові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завдання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(30 шт.)</w:t>
                  </w:r>
                </w:p>
              </w:tc>
              <w:tc>
                <w:tcPr>
                  <w:tcW w:w="1701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60</w:t>
                  </w:r>
                </w:p>
              </w:tc>
            </w:tr>
            <w:tr w:rsidR="00864AE1" w:rsidRPr="006646EE" w:rsidTr="0033154C">
              <w:tc>
                <w:tcPr>
                  <w:tcW w:w="3652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 w:eastAsia="ru-RU"/>
                    </w:rPr>
                    <w:t>Поточне тестування та с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амостійна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робота </w:t>
                  </w:r>
                </w:p>
              </w:tc>
              <w:tc>
                <w:tcPr>
                  <w:tcW w:w="1418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val="uk-UA" w:eastAsia="ru-RU"/>
                    </w:rPr>
                    <w:t>Поточне тестування та с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амостійна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 xml:space="preserve"> робота </w:t>
                  </w:r>
                </w:p>
              </w:tc>
              <w:tc>
                <w:tcPr>
                  <w:tcW w:w="1701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864AE1" w:rsidRPr="006646EE" w:rsidTr="0033154C">
              <w:tc>
                <w:tcPr>
                  <w:tcW w:w="3652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Разом</w:t>
                  </w:r>
                </w:p>
              </w:tc>
              <w:tc>
                <w:tcPr>
                  <w:tcW w:w="1418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260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Разом</w:t>
                  </w:r>
                </w:p>
              </w:tc>
              <w:tc>
                <w:tcPr>
                  <w:tcW w:w="1701" w:type="dxa"/>
                </w:tcPr>
                <w:p w:rsidR="00864AE1" w:rsidRPr="006646EE" w:rsidRDefault="00864AE1" w:rsidP="0033154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46EE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</w:tr>
          </w:tbl>
          <w:p w:rsidR="00864AE1" w:rsidRPr="006646EE" w:rsidRDefault="00864AE1" w:rsidP="00331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4AE1" w:rsidRPr="006646EE" w:rsidRDefault="00864AE1" w:rsidP="00331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Шкала </w:t>
            </w:r>
            <w:proofErr w:type="spellStart"/>
            <w:r w:rsidRPr="0066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оцінювання</w:t>
            </w:r>
            <w:proofErr w:type="spellEnd"/>
            <w:r w:rsidRPr="0066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6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національна</w:t>
            </w:r>
            <w:proofErr w:type="spellEnd"/>
            <w:r w:rsidRPr="0066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ECTS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2"/>
              <w:gridCol w:w="1417"/>
              <w:gridCol w:w="4678"/>
              <w:gridCol w:w="2268"/>
            </w:tblGrid>
            <w:tr w:rsidR="00864AE1" w:rsidRPr="006646EE" w:rsidTr="0033154C">
              <w:trPr>
                <w:trHeight w:val="450"/>
              </w:trPr>
              <w:tc>
                <w:tcPr>
                  <w:tcW w:w="1702" w:type="dxa"/>
                  <w:vMerge w:val="restart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Сума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балі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в</w:t>
                  </w:r>
                  <w:proofErr w:type="spellEnd"/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 xml:space="preserve"> за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всі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види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навчальної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Оцінка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646EE">
                    <w:rPr>
                      <w:rFonts w:ascii="Times New Roman" w:hAnsi="Times New Roman" w:cs="Times New Roman"/>
                    </w:rPr>
                    <w:t>ECTS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Оцінка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за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національною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шкалою</w:t>
                  </w:r>
                </w:p>
              </w:tc>
            </w:tr>
            <w:tr w:rsidR="00864AE1" w:rsidRPr="006646EE" w:rsidTr="0033154C">
              <w:trPr>
                <w:trHeight w:val="450"/>
              </w:trPr>
              <w:tc>
                <w:tcPr>
                  <w:tcW w:w="1702" w:type="dxa"/>
                  <w:vMerge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для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екзамену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курсового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 xml:space="preserve"> проекту (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роботи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>), практики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для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заліку</w:t>
                  </w:r>
                  <w:proofErr w:type="spellEnd"/>
                </w:p>
              </w:tc>
            </w:tr>
            <w:tr w:rsidR="00864AE1" w:rsidRPr="006646EE" w:rsidTr="0033154C"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90 – 100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4678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відмінно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зараховано</w:t>
                  </w:r>
                  <w:proofErr w:type="spellEnd"/>
                </w:p>
              </w:tc>
            </w:tr>
            <w:tr w:rsidR="00864AE1" w:rsidRPr="006646EE" w:rsidTr="0033154C">
              <w:trPr>
                <w:trHeight w:val="194"/>
              </w:trPr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8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89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4678" w:type="dxa"/>
                  <w:vMerge w:val="restart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добре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4AE1" w:rsidRPr="006646EE" w:rsidTr="0033154C"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7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8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4678" w:type="dxa"/>
                  <w:vMerge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4AE1" w:rsidRPr="006646EE" w:rsidTr="0033154C"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70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7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4678" w:type="dxa"/>
                  <w:vMerge w:val="restart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задовільно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4AE1" w:rsidRPr="006646EE" w:rsidTr="0033154C"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60 – 6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 xml:space="preserve">Е </w:t>
                  </w:r>
                </w:p>
              </w:tc>
              <w:tc>
                <w:tcPr>
                  <w:tcW w:w="4678" w:type="dxa"/>
                  <w:vMerge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4AE1" w:rsidRPr="006646EE" w:rsidTr="0033154C"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35 – 59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FX</w:t>
                  </w:r>
                </w:p>
              </w:tc>
              <w:tc>
                <w:tcPr>
                  <w:tcW w:w="4678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незадовільно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з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можливістю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повторного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складання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не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зараховано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з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можливістю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повторного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складання</w:t>
                  </w:r>
                  <w:proofErr w:type="spellEnd"/>
                </w:p>
              </w:tc>
            </w:tr>
            <w:tr w:rsidR="00864AE1" w:rsidRPr="006646EE" w:rsidTr="0033154C">
              <w:trPr>
                <w:trHeight w:val="708"/>
              </w:trPr>
              <w:tc>
                <w:tcPr>
                  <w:tcW w:w="1702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34</w:t>
                  </w:r>
                </w:p>
              </w:tc>
              <w:tc>
                <w:tcPr>
                  <w:tcW w:w="1417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4678" w:type="dxa"/>
                  <w:vAlign w:val="center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незадовільно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 xml:space="preserve">з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обов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>’язковим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повторним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вивченням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дисципліни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64AE1" w:rsidRPr="006646EE" w:rsidRDefault="00864AE1" w:rsidP="00331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не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зараховано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 xml:space="preserve">з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обов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>’язковим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повторним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вивченням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дисципліни</w:t>
                  </w:r>
                  <w:proofErr w:type="spellEnd"/>
                </w:p>
              </w:tc>
            </w:tr>
          </w:tbl>
          <w:p w:rsidR="00864AE1" w:rsidRPr="00E349E8" w:rsidRDefault="00864AE1" w:rsidP="0033154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64AE1" w:rsidRPr="00126316" w:rsidTr="0033154C">
        <w:tc>
          <w:tcPr>
            <w:tcW w:w="9344" w:type="dxa"/>
            <w:gridSpan w:val="5"/>
          </w:tcPr>
          <w:p w:rsidR="00864AE1" w:rsidRPr="00126316" w:rsidRDefault="00864AE1" w:rsidP="003315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10.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864AE1" w:rsidRPr="00A419A9" w:rsidTr="0033154C">
        <w:tc>
          <w:tcPr>
            <w:tcW w:w="9344" w:type="dxa"/>
            <w:gridSpan w:val="5"/>
          </w:tcPr>
          <w:p w:rsidR="00864AE1" w:rsidRPr="00126316" w:rsidRDefault="00A419A9" w:rsidP="003315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вищої освіти повинні дотримуватися: Положення про організацію освітнього процесу в Національному університеті «Запорізька політехніка», академічної доброчесності, </w:t>
            </w:r>
            <w:r w:rsidRPr="00B00A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виявляти дисциплінованість, вихованість, доброзичливість, чесність, відповідальність. </w:t>
            </w:r>
          </w:p>
        </w:tc>
      </w:tr>
    </w:tbl>
    <w:p w:rsidR="00864AE1" w:rsidRPr="00126316" w:rsidRDefault="00864AE1" w:rsidP="0086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AE1" w:rsidRPr="00126316" w:rsidRDefault="00864AE1" w:rsidP="00864AE1">
      <w:pPr>
        <w:rPr>
          <w:sz w:val="24"/>
          <w:szCs w:val="24"/>
          <w:lang w:val="uk-UA"/>
        </w:rPr>
      </w:pPr>
    </w:p>
    <w:p w:rsidR="0061390D" w:rsidRPr="00864AE1" w:rsidRDefault="0061390D">
      <w:pPr>
        <w:rPr>
          <w:lang w:val="uk-UA"/>
        </w:rPr>
      </w:pPr>
    </w:p>
    <w:sectPr w:rsidR="0061390D" w:rsidRPr="00864AE1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AE1"/>
    <w:rsid w:val="00020059"/>
    <w:rsid w:val="000E1BDF"/>
    <w:rsid w:val="002655A6"/>
    <w:rsid w:val="00370F8D"/>
    <w:rsid w:val="00454D58"/>
    <w:rsid w:val="0052196E"/>
    <w:rsid w:val="005D2438"/>
    <w:rsid w:val="0061390D"/>
    <w:rsid w:val="0072130E"/>
    <w:rsid w:val="00731122"/>
    <w:rsid w:val="007A1D01"/>
    <w:rsid w:val="007A5847"/>
    <w:rsid w:val="0080049F"/>
    <w:rsid w:val="008427BD"/>
    <w:rsid w:val="008456F4"/>
    <w:rsid w:val="00864AE1"/>
    <w:rsid w:val="00930D4F"/>
    <w:rsid w:val="00957709"/>
    <w:rsid w:val="00995406"/>
    <w:rsid w:val="009B2FE3"/>
    <w:rsid w:val="00A419A9"/>
    <w:rsid w:val="00A878E6"/>
    <w:rsid w:val="00AE7FF8"/>
    <w:rsid w:val="00B0474C"/>
    <w:rsid w:val="00B06A28"/>
    <w:rsid w:val="00D16F8C"/>
    <w:rsid w:val="00D17BE2"/>
    <w:rsid w:val="00DC03B2"/>
    <w:rsid w:val="00E745ED"/>
    <w:rsid w:val="00EF3526"/>
    <w:rsid w:val="00F41D7D"/>
    <w:rsid w:val="00F902A3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AE1"/>
    <w:pPr>
      <w:ind w:left="720"/>
      <w:contextualSpacing/>
    </w:pPr>
  </w:style>
  <w:style w:type="paragraph" w:customStyle="1" w:styleId="Default">
    <w:name w:val="Default"/>
    <w:rsid w:val="00864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64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AE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VIZIRENKO</dc:creator>
  <cp:lastModifiedBy>prepod</cp:lastModifiedBy>
  <cp:revision>22</cp:revision>
  <dcterms:created xsi:type="dcterms:W3CDTF">2020-11-28T11:28:00Z</dcterms:created>
  <dcterms:modified xsi:type="dcterms:W3CDTF">2020-11-30T08:59:00Z</dcterms:modified>
</cp:coreProperties>
</file>